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75951B33" w14:textId="77777777" w:rsidTr="00943920">
        <w:trPr>
          <w:trHeight w:val="841"/>
        </w:trPr>
        <w:tc>
          <w:tcPr>
            <w:tcW w:w="7621" w:type="dxa"/>
            <w:gridSpan w:val="2"/>
            <w:shd w:val="clear" w:color="auto" w:fill="auto"/>
            <w:vAlign w:val="center"/>
          </w:tcPr>
          <w:p w14:paraId="02FC1013"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B067C3" w:rsidRPr="003519F9">
              <w:rPr>
                <w:rFonts w:ascii="Oswald" w:hAnsi="Oswald" w:cs="Arial"/>
                <w:b/>
                <w:smallCaps/>
                <w:noProof/>
              </w:rPr>
              <w:t>Head of Technical Excellence &amp; Capability</w:t>
            </w:r>
          </w:p>
          <w:p w14:paraId="1B0159F2" w14:textId="77777777" w:rsidR="00943920" w:rsidRPr="00072577" w:rsidRDefault="00943920" w:rsidP="00BB6541">
            <w:pPr>
              <w:jc w:val="center"/>
              <w:rPr>
                <w:rFonts w:ascii="Arial" w:hAnsi="Arial"/>
                <w:b/>
                <w:sz w:val="18"/>
                <w:szCs w:val="18"/>
              </w:rPr>
            </w:pPr>
          </w:p>
        </w:tc>
        <w:tc>
          <w:tcPr>
            <w:tcW w:w="2679" w:type="dxa"/>
            <w:vMerge w:val="restart"/>
          </w:tcPr>
          <w:p w14:paraId="1DE45B1E" w14:textId="77777777" w:rsidR="00943920" w:rsidRPr="00072577" w:rsidRDefault="00943920" w:rsidP="00BB6541">
            <w:pPr>
              <w:jc w:val="right"/>
              <w:rPr>
                <w:rFonts w:ascii="Calibri" w:hAnsi="Calibri"/>
                <w:b/>
                <w:sz w:val="20"/>
                <w:szCs w:val="20"/>
              </w:rPr>
            </w:pPr>
          </w:p>
          <w:p w14:paraId="5C885797" w14:textId="3D0F598D" w:rsidR="00943920" w:rsidRPr="00072577" w:rsidRDefault="00873D7A" w:rsidP="00050253">
            <w:pPr>
              <w:jc w:val="center"/>
              <w:rPr>
                <w:rFonts w:ascii="Calibri" w:hAnsi="Calibri"/>
                <w:bCs/>
                <w:sz w:val="20"/>
                <w:szCs w:val="20"/>
              </w:rPr>
            </w:pPr>
            <w:r>
              <w:rPr>
                <w:rFonts w:ascii="Calibri" w:hAnsi="Calibri"/>
                <w:bCs/>
                <w:noProof/>
                <w:sz w:val="20"/>
                <w:szCs w:val="20"/>
              </w:rPr>
              <w:drawing>
                <wp:inline distT="0" distB="0" distL="0" distR="0" wp14:anchorId="4AA45142" wp14:editId="7D2C3FC3">
                  <wp:extent cx="1562100" cy="33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00943920" w:rsidRPr="00994C06" w14:paraId="5F695464" w14:textId="77777777" w:rsidTr="00943920">
        <w:trPr>
          <w:trHeight w:val="495"/>
        </w:trPr>
        <w:tc>
          <w:tcPr>
            <w:tcW w:w="1809" w:type="dxa"/>
            <w:shd w:val="clear" w:color="auto" w:fill="auto"/>
            <w:vAlign w:val="center"/>
          </w:tcPr>
          <w:p w14:paraId="744165DD"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BEDD6AF" w14:textId="77777777" w:rsidR="00943920" w:rsidRPr="005E601E" w:rsidRDefault="00B067C3" w:rsidP="00943920">
            <w:pPr>
              <w:rPr>
                <w:rFonts w:ascii="Oswald" w:hAnsi="Oswald"/>
                <w:bCs/>
                <w:sz w:val="22"/>
                <w:szCs w:val="22"/>
              </w:rPr>
            </w:pPr>
            <w:r w:rsidRPr="003519F9">
              <w:rPr>
                <w:rFonts w:ascii="Oswald" w:hAnsi="Oswald"/>
                <w:bCs/>
                <w:noProof/>
                <w:sz w:val="22"/>
                <w:szCs w:val="22"/>
              </w:rPr>
              <w:t>Head of Technical Excellence &amp; Capability</w:t>
            </w:r>
            <w:r w:rsidR="00943920">
              <w:rPr>
                <w:rFonts w:ascii="Oswald" w:hAnsi="Oswald"/>
                <w:bCs/>
                <w:sz w:val="22"/>
                <w:szCs w:val="22"/>
              </w:rPr>
              <w:t xml:space="preserve"> </w:t>
            </w:r>
          </w:p>
        </w:tc>
        <w:tc>
          <w:tcPr>
            <w:tcW w:w="2679" w:type="dxa"/>
            <w:vMerge/>
          </w:tcPr>
          <w:p w14:paraId="3E51B3BE" w14:textId="77777777" w:rsidR="00943920" w:rsidRPr="00994C06" w:rsidRDefault="00943920" w:rsidP="00E31215">
            <w:pPr>
              <w:rPr>
                <w:rFonts w:ascii="Calibri" w:hAnsi="Calibri"/>
                <w:b/>
                <w:sz w:val="20"/>
                <w:szCs w:val="20"/>
              </w:rPr>
            </w:pPr>
          </w:p>
        </w:tc>
      </w:tr>
      <w:tr w:rsidR="00943920" w:rsidRPr="00994C06" w14:paraId="66C12D43" w14:textId="77777777" w:rsidTr="00943920">
        <w:trPr>
          <w:trHeight w:val="495"/>
        </w:trPr>
        <w:tc>
          <w:tcPr>
            <w:tcW w:w="1809" w:type="dxa"/>
            <w:shd w:val="clear" w:color="auto" w:fill="auto"/>
            <w:vAlign w:val="center"/>
          </w:tcPr>
          <w:p w14:paraId="66D76E65"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71B3125F" w14:textId="77777777" w:rsidR="00943920" w:rsidRDefault="00B067C3" w:rsidP="00E31215">
            <w:pPr>
              <w:rPr>
                <w:rFonts w:ascii="Oswald" w:hAnsi="Oswald"/>
                <w:bCs/>
                <w:sz w:val="22"/>
                <w:szCs w:val="22"/>
              </w:rPr>
            </w:pPr>
            <w:r w:rsidRPr="003519F9">
              <w:rPr>
                <w:rFonts w:ascii="Oswald" w:hAnsi="Oswald"/>
                <w:bCs/>
                <w:noProof/>
                <w:sz w:val="22"/>
                <w:szCs w:val="22"/>
              </w:rPr>
              <w:t>704854908-copy</w:t>
            </w:r>
          </w:p>
        </w:tc>
        <w:tc>
          <w:tcPr>
            <w:tcW w:w="2679" w:type="dxa"/>
            <w:vMerge/>
          </w:tcPr>
          <w:p w14:paraId="7DD4C61C" w14:textId="77777777" w:rsidR="00943920" w:rsidRPr="00994C06" w:rsidRDefault="00943920" w:rsidP="00E31215">
            <w:pPr>
              <w:rPr>
                <w:rFonts w:ascii="Calibri" w:hAnsi="Calibri"/>
                <w:b/>
                <w:sz w:val="20"/>
                <w:szCs w:val="20"/>
              </w:rPr>
            </w:pPr>
          </w:p>
        </w:tc>
      </w:tr>
    </w:tbl>
    <w:p w14:paraId="1BF23E61"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B348F2B" w14:textId="77777777" w:rsidTr="6802BB1C">
        <w:trPr>
          <w:trHeight w:val="277"/>
        </w:trPr>
        <w:tc>
          <w:tcPr>
            <w:tcW w:w="1809" w:type="dxa"/>
            <w:tcBorders>
              <w:bottom w:val="single" w:sz="4" w:space="0" w:color="000000" w:themeColor="text1"/>
            </w:tcBorders>
            <w:shd w:val="clear" w:color="auto" w:fill="D5E0E1"/>
            <w:vAlign w:val="center"/>
          </w:tcPr>
          <w:p w14:paraId="374FDD50"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DEA2A3F" w14:textId="039AE6B0" w:rsidR="00F64009" w:rsidRPr="005E601E" w:rsidRDefault="00B067C3" w:rsidP="6802BB1C">
            <w:pPr>
              <w:rPr>
                <w:rFonts w:ascii="Lato" w:hAnsi="Lato"/>
                <w:sz w:val="22"/>
                <w:szCs w:val="22"/>
              </w:rPr>
            </w:pPr>
            <w:r w:rsidRPr="6802BB1C">
              <w:rPr>
                <w:rFonts w:ascii="Lato" w:hAnsi="Lato"/>
                <w:noProof/>
                <w:sz w:val="22"/>
                <w:szCs w:val="22"/>
              </w:rPr>
              <w:t xml:space="preserve">Technical </w:t>
            </w:r>
            <w:r w:rsidR="466B715B" w:rsidRPr="6802BB1C">
              <w:rPr>
                <w:rFonts w:ascii="Lato" w:hAnsi="Lato"/>
                <w:noProof/>
                <w:sz w:val="22"/>
                <w:szCs w:val="22"/>
              </w:rPr>
              <w:t>R</w:t>
            </w:r>
            <w:r w:rsidRPr="6802BB1C">
              <w:rPr>
                <w:rFonts w:ascii="Lato" w:hAnsi="Lato"/>
                <w:noProof/>
                <w:sz w:val="22"/>
                <w:szCs w:val="22"/>
              </w:rPr>
              <w:t xml:space="preserve">esources and </w:t>
            </w:r>
            <w:r w:rsidR="03D89221" w:rsidRPr="6802BB1C">
              <w:rPr>
                <w:rFonts w:ascii="Lato" w:hAnsi="Lato"/>
                <w:noProof/>
                <w:sz w:val="22"/>
                <w:szCs w:val="22"/>
              </w:rPr>
              <w:t>Q</w:t>
            </w:r>
            <w:r w:rsidRPr="6802BB1C">
              <w:rPr>
                <w:rFonts w:ascii="Lato" w:hAnsi="Lato"/>
                <w:noProof/>
                <w:sz w:val="22"/>
                <w:szCs w:val="22"/>
              </w:rPr>
              <w:t>uality</w:t>
            </w:r>
          </w:p>
        </w:tc>
        <w:tc>
          <w:tcPr>
            <w:tcW w:w="2268" w:type="dxa"/>
            <w:shd w:val="clear" w:color="auto" w:fill="D5E0E1"/>
            <w:vAlign w:val="center"/>
          </w:tcPr>
          <w:p w14:paraId="6B6360BE"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5E833928" w14:textId="77777777" w:rsidR="00F64009" w:rsidRPr="005E601E" w:rsidRDefault="00B067C3" w:rsidP="00F64009">
            <w:pPr>
              <w:rPr>
                <w:rFonts w:ascii="Lato" w:hAnsi="Lato"/>
                <w:bCs/>
                <w:iCs/>
                <w:sz w:val="22"/>
                <w:szCs w:val="22"/>
              </w:rPr>
            </w:pPr>
            <w:r w:rsidRPr="003519F9">
              <w:rPr>
                <w:rFonts w:ascii="Lato" w:hAnsi="Lato"/>
                <w:bCs/>
                <w:iCs/>
                <w:noProof/>
                <w:sz w:val="22"/>
                <w:szCs w:val="22"/>
              </w:rPr>
              <w:t>M4</w:t>
            </w:r>
          </w:p>
        </w:tc>
      </w:tr>
      <w:tr w:rsidR="00994C06" w:rsidRPr="005E601E" w14:paraId="3A9B3FDB" w14:textId="77777777" w:rsidTr="6802BB1C">
        <w:trPr>
          <w:trHeight w:val="304"/>
        </w:trPr>
        <w:tc>
          <w:tcPr>
            <w:tcW w:w="1809" w:type="dxa"/>
            <w:shd w:val="clear" w:color="auto" w:fill="D5E0E1"/>
            <w:vAlign w:val="center"/>
          </w:tcPr>
          <w:p w14:paraId="5A654414"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9F19CFC" w14:textId="77777777" w:rsidR="00F64009" w:rsidRPr="005E601E" w:rsidRDefault="00B067C3" w:rsidP="00F64009">
            <w:pPr>
              <w:rPr>
                <w:rFonts w:ascii="Lato" w:hAnsi="Lato"/>
                <w:bCs/>
                <w:iCs/>
                <w:sz w:val="22"/>
                <w:szCs w:val="22"/>
              </w:rPr>
            </w:pPr>
            <w:r w:rsidRPr="003519F9">
              <w:rPr>
                <w:rFonts w:ascii="Lato" w:hAnsi="Lato"/>
                <w:bCs/>
                <w:iCs/>
                <w:noProof/>
                <w:sz w:val="22"/>
                <w:szCs w:val="22"/>
              </w:rPr>
              <w:t>Director of Technical Resources and Quality</w:t>
            </w:r>
          </w:p>
        </w:tc>
        <w:tc>
          <w:tcPr>
            <w:tcW w:w="2268" w:type="dxa"/>
            <w:shd w:val="clear" w:color="auto" w:fill="D5E0E1"/>
            <w:vAlign w:val="center"/>
          </w:tcPr>
          <w:p w14:paraId="45207B10" w14:textId="77777777" w:rsidR="00F64009" w:rsidRPr="005E601E" w:rsidRDefault="00072577" w:rsidP="6802BB1C">
            <w:pPr>
              <w:rPr>
                <w:rFonts w:ascii="Lato" w:hAnsi="Lato"/>
                <w:b/>
                <w:bCs/>
                <w:sz w:val="22"/>
                <w:szCs w:val="22"/>
              </w:rPr>
            </w:pPr>
            <w:r w:rsidRPr="6802BB1C">
              <w:rPr>
                <w:rFonts w:ascii="Lato" w:hAnsi="Lato"/>
                <w:b/>
                <w:bCs/>
                <w:sz w:val="22"/>
                <w:szCs w:val="22"/>
              </w:rPr>
              <w:t>Contract Length</w:t>
            </w:r>
          </w:p>
        </w:tc>
        <w:tc>
          <w:tcPr>
            <w:tcW w:w="2958" w:type="dxa"/>
            <w:vAlign w:val="center"/>
          </w:tcPr>
          <w:p w14:paraId="0A1DF70C" w14:textId="1227B17B" w:rsidR="00F64009" w:rsidRPr="005E601E" w:rsidRDefault="28E4A4BE" w:rsidP="6802BB1C">
            <w:pPr>
              <w:rPr>
                <w:rFonts w:ascii="Lato" w:hAnsi="Lato"/>
                <w:sz w:val="22"/>
                <w:szCs w:val="22"/>
              </w:rPr>
            </w:pPr>
            <w:r w:rsidRPr="6802BB1C">
              <w:rPr>
                <w:rFonts w:ascii="Lato" w:hAnsi="Lato"/>
                <w:sz w:val="22"/>
                <w:szCs w:val="22"/>
              </w:rPr>
              <w:t>Permanent</w:t>
            </w:r>
          </w:p>
        </w:tc>
      </w:tr>
      <w:tr w:rsidR="00BB1C79" w:rsidRPr="005E601E" w14:paraId="647E17DA" w14:textId="77777777" w:rsidTr="6802BB1C">
        <w:trPr>
          <w:trHeight w:val="304"/>
        </w:trPr>
        <w:tc>
          <w:tcPr>
            <w:tcW w:w="1809" w:type="dxa"/>
            <w:shd w:val="clear" w:color="auto" w:fill="D5E0E1"/>
            <w:vAlign w:val="center"/>
          </w:tcPr>
          <w:p w14:paraId="70ED8CBF"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643D7392" w14:textId="77777777" w:rsidR="00BB1C79" w:rsidRDefault="00B067C3"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24878F5E"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F93CF21" w14:textId="77777777" w:rsidR="00BB1C79" w:rsidRDefault="00B067C3" w:rsidP="00F64009">
            <w:pPr>
              <w:rPr>
                <w:rFonts w:ascii="Lato" w:hAnsi="Lato"/>
                <w:bCs/>
                <w:iCs/>
                <w:sz w:val="22"/>
                <w:szCs w:val="22"/>
              </w:rPr>
            </w:pPr>
            <w:r w:rsidRPr="003519F9">
              <w:rPr>
                <w:rFonts w:ascii="Lato" w:hAnsi="Lato"/>
                <w:bCs/>
                <w:iCs/>
                <w:noProof/>
                <w:sz w:val="22"/>
                <w:szCs w:val="22"/>
              </w:rPr>
              <w:t>Any</w:t>
            </w:r>
          </w:p>
        </w:tc>
      </w:tr>
      <w:tr w:rsidR="00BB1C79" w:rsidRPr="005E601E" w14:paraId="7148B18A" w14:textId="77777777" w:rsidTr="6802BB1C">
        <w:trPr>
          <w:trHeight w:val="304"/>
        </w:trPr>
        <w:tc>
          <w:tcPr>
            <w:tcW w:w="1809" w:type="dxa"/>
            <w:shd w:val="clear" w:color="auto" w:fill="D5E0E1"/>
            <w:vAlign w:val="center"/>
          </w:tcPr>
          <w:p w14:paraId="5465F191"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65F12CAD" w14:textId="77777777" w:rsidR="00BB1C79" w:rsidRDefault="00B067C3"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704BE35A"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2A5DF33A" w14:textId="77777777" w:rsidR="00BB1C79" w:rsidRPr="009E2DAC" w:rsidRDefault="00B067C3" w:rsidP="00F64009">
            <w:pPr>
              <w:rPr>
                <w:rFonts w:ascii="Lato" w:hAnsi="Lato"/>
                <w:bCs/>
                <w:iCs/>
                <w:sz w:val="22"/>
                <w:szCs w:val="22"/>
              </w:rPr>
            </w:pPr>
            <w:r w:rsidRPr="003519F9">
              <w:rPr>
                <w:rFonts w:ascii="Lato" w:hAnsi="Lato"/>
                <w:bCs/>
                <w:iCs/>
                <w:noProof/>
                <w:sz w:val="22"/>
                <w:szCs w:val="22"/>
              </w:rPr>
              <w:t>1</w:t>
            </w:r>
          </w:p>
        </w:tc>
      </w:tr>
    </w:tbl>
    <w:p w14:paraId="0CCFE130"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EE0C54C" w14:textId="77777777" w:rsidTr="0B129B62">
        <w:tc>
          <w:tcPr>
            <w:tcW w:w="10296" w:type="dxa"/>
            <w:shd w:val="clear" w:color="auto" w:fill="D5E0E1"/>
          </w:tcPr>
          <w:p w14:paraId="1DFEB133"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58DEEE0" w14:textId="77777777" w:rsidTr="0B129B62">
        <w:trPr>
          <w:trHeight w:val="854"/>
        </w:trPr>
        <w:tc>
          <w:tcPr>
            <w:tcW w:w="10296" w:type="dxa"/>
          </w:tcPr>
          <w:p w14:paraId="1FFDD14C"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7531E88" w14:textId="77777777" w:rsidR="00B067C3" w:rsidRPr="003519F9" w:rsidRDefault="00B067C3" w:rsidP="6802BB1C">
            <w:pPr>
              <w:pStyle w:val="ListParagraph"/>
              <w:numPr>
                <w:ilvl w:val="0"/>
                <w:numId w:val="3"/>
              </w:numPr>
              <w:rPr>
                <w:rFonts w:ascii="Lato" w:hAnsi="Lato"/>
                <w:noProof/>
                <w:color w:val="000000"/>
                <w:sz w:val="22"/>
                <w:szCs w:val="22"/>
              </w:rPr>
            </w:pPr>
            <w:r w:rsidRPr="6802BB1C">
              <w:rPr>
                <w:rFonts w:ascii="Lato" w:hAnsi="Lato"/>
                <w:noProof/>
                <w:color w:val="000000" w:themeColor="text1"/>
                <w:sz w:val="22"/>
                <w:szCs w:val="22"/>
              </w:rPr>
              <w:t>Set global standards for programme quality &amp; influencing and support country offices &amp; members to contextualise these</w:t>
            </w:r>
          </w:p>
          <w:p w14:paraId="7AC74402" w14:textId="232ED3C0" w:rsidR="00B067C3" w:rsidRPr="003519F9" w:rsidRDefault="00B067C3" w:rsidP="6802BB1C">
            <w:pPr>
              <w:pStyle w:val="ListParagraph"/>
              <w:numPr>
                <w:ilvl w:val="0"/>
                <w:numId w:val="3"/>
              </w:numPr>
              <w:rPr>
                <w:rFonts w:ascii="Lato" w:hAnsi="Lato"/>
                <w:noProof/>
                <w:color w:val="000000"/>
                <w:sz w:val="22"/>
                <w:szCs w:val="22"/>
              </w:rPr>
            </w:pPr>
            <w:r w:rsidRPr="0B129B62">
              <w:rPr>
                <w:rFonts w:ascii="Lato" w:hAnsi="Lato"/>
                <w:noProof/>
                <w:color w:val="000000" w:themeColor="text1"/>
                <w:sz w:val="22"/>
                <w:szCs w:val="22"/>
              </w:rPr>
              <w:t xml:space="preserve">Coordinate </w:t>
            </w:r>
            <w:r w:rsidR="05801921" w:rsidRPr="0B129B62">
              <w:rPr>
                <w:rFonts w:ascii="Lato" w:hAnsi="Lato"/>
                <w:noProof/>
                <w:color w:val="000000" w:themeColor="text1"/>
                <w:sz w:val="22"/>
                <w:szCs w:val="22"/>
              </w:rPr>
              <w:t xml:space="preserve">Impact and Influencing (I&amp;I) </w:t>
            </w:r>
            <w:r w:rsidRPr="0B129B62">
              <w:rPr>
                <w:rFonts w:ascii="Lato" w:hAnsi="Lato"/>
                <w:noProof/>
                <w:color w:val="000000" w:themeColor="text1"/>
                <w:sz w:val="22"/>
                <w:szCs w:val="22"/>
              </w:rPr>
              <w:t>contribution to  global strategy</w:t>
            </w:r>
          </w:p>
          <w:p w14:paraId="4989038D" w14:textId="290AF57B" w:rsidR="00B067C3" w:rsidRPr="003519F9" w:rsidRDefault="00B067C3" w:rsidP="6802BB1C">
            <w:pPr>
              <w:pStyle w:val="ListParagraph"/>
              <w:numPr>
                <w:ilvl w:val="0"/>
                <w:numId w:val="3"/>
              </w:numPr>
              <w:rPr>
                <w:rFonts w:ascii="Lato" w:hAnsi="Lato"/>
                <w:noProof/>
                <w:color w:val="000000"/>
                <w:sz w:val="22"/>
                <w:szCs w:val="22"/>
              </w:rPr>
            </w:pPr>
            <w:r w:rsidRPr="0B129B62">
              <w:rPr>
                <w:rFonts w:ascii="Lato" w:hAnsi="Lato"/>
                <w:noProof/>
                <w:color w:val="000000" w:themeColor="text1"/>
                <w:sz w:val="22"/>
                <w:szCs w:val="22"/>
              </w:rPr>
              <w:t xml:space="preserve">Ensure </w:t>
            </w:r>
            <w:r w:rsidR="1FA4BFCA" w:rsidRPr="0B129B62">
              <w:rPr>
                <w:rFonts w:ascii="Lato" w:hAnsi="Lato"/>
                <w:noProof/>
                <w:color w:val="000000" w:themeColor="text1"/>
                <w:sz w:val="22"/>
                <w:szCs w:val="22"/>
              </w:rPr>
              <w:t>I&amp;I</w:t>
            </w:r>
            <w:r w:rsidRPr="0B129B62">
              <w:rPr>
                <w:rFonts w:ascii="Lato" w:hAnsi="Lato"/>
                <w:noProof/>
                <w:color w:val="000000" w:themeColor="text1"/>
                <w:sz w:val="22"/>
                <w:szCs w:val="22"/>
              </w:rPr>
              <w:t xml:space="preserve"> Teams support COs to respond to children’s changing needs and drive impact beyond thematic &amp; geographic siloes.  </w:t>
            </w:r>
          </w:p>
          <w:p w14:paraId="285A17C2" w14:textId="39F7ED1B" w:rsidR="00B067C3" w:rsidRPr="003519F9" w:rsidRDefault="00B067C3" w:rsidP="6802BB1C">
            <w:pPr>
              <w:pStyle w:val="ListParagraph"/>
              <w:numPr>
                <w:ilvl w:val="0"/>
                <w:numId w:val="3"/>
              </w:numPr>
              <w:rPr>
                <w:rFonts w:ascii="Lato" w:hAnsi="Lato"/>
                <w:noProof/>
                <w:color w:val="000000"/>
                <w:sz w:val="22"/>
                <w:szCs w:val="22"/>
              </w:rPr>
            </w:pPr>
            <w:r w:rsidRPr="6802BB1C">
              <w:rPr>
                <w:rFonts w:ascii="Lato" w:hAnsi="Lato"/>
                <w:noProof/>
                <w:color w:val="000000" w:themeColor="text1"/>
                <w:sz w:val="22"/>
                <w:szCs w:val="22"/>
              </w:rPr>
              <w:t xml:space="preserve">Build and strengthen the calibre, stability &amp;diversity of our global I&amp;I cadre to deliver on our strategic ambitions and impact agenda. </w:t>
            </w:r>
          </w:p>
          <w:p w14:paraId="234E37A8" w14:textId="45B684AA" w:rsidR="00B067C3" w:rsidRPr="003519F9" w:rsidRDefault="00B067C3" w:rsidP="6802BB1C">
            <w:pPr>
              <w:pStyle w:val="ListParagraph"/>
              <w:numPr>
                <w:ilvl w:val="0"/>
                <w:numId w:val="3"/>
              </w:numPr>
              <w:rPr>
                <w:rFonts w:ascii="Lato" w:hAnsi="Lato"/>
                <w:noProof/>
                <w:color w:val="000000"/>
                <w:sz w:val="22"/>
                <w:szCs w:val="22"/>
              </w:rPr>
            </w:pPr>
            <w:r w:rsidRPr="0B129B62">
              <w:rPr>
                <w:rFonts w:ascii="Lato" w:hAnsi="Lato"/>
                <w:noProof/>
                <w:color w:val="000000" w:themeColor="text1"/>
                <w:sz w:val="22"/>
                <w:szCs w:val="22"/>
              </w:rPr>
              <w:t>Lead movement-wide coordination and planning of its T</w:t>
            </w:r>
            <w:r w:rsidR="65C89678" w:rsidRPr="0B129B62">
              <w:rPr>
                <w:rFonts w:ascii="Lato" w:hAnsi="Lato"/>
                <w:noProof/>
                <w:color w:val="000000" w:themeColor="text1"/>
                <w:sz w:val="22"/>
                <w:szCs w:val="22"/>
              </w:rPr>
              <w:t>echnical Experts (TE)</w:t>
            </w:r>
            <w:r w:rsidRPr="0B129B62">
              <w:rPr>
                <w:rFonts w:ascii="Lato" w:hAnsi="Lato"/>
                <w:noProof/>
                <w:color w:val="000000" w:themeColor="text1"/>
                <w:sz w:val="22"/>
                <w:szCs w:val="22"/>
              </w:rPr>
              <w:t xml:space="preserve"> workforc</w:t>
            </w:r>
            <w:r w:rsidR="0F0C1931" w:rsidRPr="0B129B62">
              <w:rPr>
                <w:rFonts w:ascii="Lato" w:hAnsi="Lato"/>
                <w:noProof/>
                <w:color w:val="000000" w:themeColor="text1"/>
                <w:sz w:val="22"/>
                <w:szCs w:val="22"/>
              </w:rPr>
              <w:t xml:space="preserve">e. </w:t>
            </w:r>
          </w:p>
          <w:p w14:paraId="0AB9FB21" w14:textId="4644E6CC" w:rsidR="00B067C3" w:rsidRPr="003519F9" w:rsidRDefault="00B067C3" w:rsidP="6802BB1C">
            <w:pPr>
              <w:pStyle w:val="ListParagraph"/>
              <w:numPr>
                <w:ilvl w:val="0"/>
                <w:numId w:val="3"/>
              </w:numPr>
              <w:rPr>
                <w:rFonts w:ascii="Lato" w:hAnsi="Lato"/>
                <w:noProof/>
                <w:color w:val="000000"/>
                <w:sz w:val="22"/>
                <w:szCs w:val="22"/>
              </w:rPr>
            </w:pPr>
            <w:r w:rsidRPr="0B129B62">
              <w:rPr>
                <w:rFonts w:ascii="Lato" w:hAnsi="Lato"/>
                <w:noProof/>
                <w:color w:val="000000" w:themeColor="text1"/>
                <w:sz w:val="22"/>
                <w:szCs w:val="22"/>
              </w:rPr>
              <w:t>Shared accountability for Global T</w:t>
            </w:r>
            <w:r w:rsidR="3A09D6AF" w:rsidRPr="0B129B62">
              <w:rPr>
                <w:rFonts w:ascii="Lato" w:hAnsi="Lato"/>
                <w:noProof/>
                <w:color w:val="000000" w:themeColor="text1"/>
                <w:sz w:val="22"/>
                <w:szCs w:val="22"/>
              </w:rPr>
              <w:t>echnical Expertise</w:t>
            </w:r>
            <w:r w:rsidRPr="0B129B62">
              <w:rPr>
                <w:rFonts w:ascii="Lato" w:hAnsi="Lato"/>
                <w:noProof/>
                <w:color w:val="000000" w:themeColor="text1"/>
                <w:sz w:val="22"/>
                <w:szCs w:val="22"/>
              </w:rPr>
              <w:t xml:space="preserve"> architecture</w:t>
            </w:r>
          </w:p>
          <w:p w14:paraId="1BE3E553" w14:textId="77777777" w:rsidR="00A338D7" w:rsidRPr="00033EB6" w:rsidRDefault="00B067C3" w:rsidP="6802BB1C">
            <w:pPr>
              <w:pStyle w:val="ListParagraph"/>
              <w:numPr>
                <w:ilvl w:val="0"/>
                <w:numId w:val="3"/>
              </w:numPr>
              <w:rPr>
                <w:rFonts w:ascii="Lato" w:hAnsi="Lato"/>
                <w:color w:val="000000"/>
                <w:sz w:val="22"/>
                <w:szCs w:val="22"/>
              </w:rPr>
            </w:pPr>
            <w:r w:rsidRPr="6802BB1C">
              <w:rPr>
                <w:rFonts w:ascii="Lato" w:hAnsi="Lato"/>
                <w:noProof/>
                <w:color w:val="000000" w:themeColor="text1"/>
                <w:sz w:val="22"/>
                <w:szCs w:val="22"/>
              </w:rPr>
              <w:t>Accountable for shared leadership of I&amp;I strategy</w:t>
            </w:r>
          </w:p>
          <w:p w14:paraId="10E16DCF" w14:textId="77777777" w:rsidR="00626423" w:rsidRPr="00033EB6" w:rsidRDefault="00626423" w:rsidP="00A338D7">
            <w:pPr>
              <w:rPr>
                <w:rFonts w:ascii="Lato" w:hAnsi="Lato"/>
                <w:bCs/>
                <w:iCs/>
                <w:color w:val="000000"/>
                <w:sz w:val="22"/>
                <w:szCs w:val="22"/>
              </w:rPr>
            </w:pPr>
          </w:p>
          <w:p w14:paraId="333E4AB5"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7C4D78B" w14:textId="77777777" w:rsidR="00A338D7" w:rsidRPr="005E601E" w:rsidRDefault="00B067C3" w:rsidP="00A338D7">
            <w:pPr>
              <w:rPr>
                <w:rFonts w:ascii="Lato" w:hAnsi="Lato"/>
                <w:bCs/>
                <w:iCs/>
                <w:sz w:val="22"/>
                <w:szCs w:val="22"/>
              </w:rPr>
            </w:pPr>
            <w:r w:rsidRPr="003519F9">
              <w:rPr>
                <w:rFonts w:ascii="Lato" w:hAnsi="Lato"/>
                <w:bCs/>
                <w:iCs/>
                <w:noProof/>
                <w:color w:val="000000"/>
                <w:sz w:val="22"/>
                <w:szCs w:val="22"/>
              </w:rPr>
              <w:t>To lead and enhance the organisation's technical capabilities, driving forward our mission with innovation and effectiveness, all while upholding the highest standards of excellence and capacity building for impactful child-focused initiatives.</w:t>
            </w:r>
          </w:p>
        </w:tc>
      </w:tr>
    </w:tbl>
    <w:p w14:paraId="4111D91F"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5784FDE" w14:textId="77777777" w:rsidTr="0B129B62">
        <w:tc>
          <w:tcPr>
            <w:tcW w:w="10296" w:type="dxa"/>
            <w:shd w:val="clear" w:color="auto" w:fill="D5E0E1"/>
          </w:tcPr>
          <w:p w14:paraId="64C35A9E" w14:textId="77777777" w:rsidR="008A1691" w:rsidRPr="005E601E" w:rsidRDefault="00BB6541" w:rsidP="6802BB1C">
            <w:pPr>
              <w:rPr>
                <w:rFonts w:ascii="Lato" w:eastAsia="Lato" w:hAnsi="Lato" w:cs="Lato"/>
                <w:b/>
                <w:bCs/>
                <w:sz w:val="22"/>
                <w:szCs w:val="22"/>
              </w:rPr>
            </w:pPr>
            <w:r w:rsidRPr="6802BB1C">
              <w:rPr>
                <w:rFonts w:ascii="Lato" w:eastAsia="Lato" w:hAnsi="Lato" w:cs="Lato"/>
                <w:b/>
                <w:bCs/>
                <w:sz w:val="22"/>
                <w:szCs w:val="22"/>
              </w:rPr>
              <w:t>Princip</w:t>
            </w:r>
            <w:r w:rsidR="00626423" w:rsidRPr="6802BB1C">
              <w:rPr>
                <w:rFonts w:ascii="Lato" w:eastAsia="Lato" w:hAnsi="Lato" w:cs="Lato"/>
                <w:b/>
                <w:bCs/>
                <w:sz w:val="22"/>
                <w:szCs w:val="22"/>
              </w:rPr>
              <w:t>al</w:t>
            </w:r>
            <w:r w:rsidRPr="6802BB1C">
              <w:rPr>
                <w:rFonts w:ascii="Lato" w:eastAsia="Lato" w:hAnsi="Lato" w:cs="Lato"/>
                <w:b/>
                <w:bCs/>
                <w:sz w:val="22"/>
                <w:szCs w:val="22"/>
              </w:rPr>
              <w:t xml:space="preserve"> Accountabilities</w:t>
            </w:r>
          </w:p>
        </w:tc>
      </w:tr>
      <w:tr w:rsidR="00994C06" w:rsidRPr="005E601E" w14:paraId="78203DB7" w14:textId="77777777" w:rsidTr="0B129B62">
        <w:tc>
          <w:tcPr>
            <w:tcW w:w="10296" w:type="dxa"/>
          </w:tcPr>
          <w:p w14:paraId="639CC3C6" w14:textId="77777777" w:rsidR="00B067C3" w:rsidRPr="003519F9" w:rsidRDefault="00B067C3" w:rsidP="6802BB1C">
            <w:pPr>
              <w:rPr>
                <w:rFonts w:ascii="Lato" w:eastAsia="Lato" w:hAnsi="Lato" w:cs="Lato"/>
                <w:noProof/>
                <w:sz w:val="22"/>
                <w:szCs w:val="22"/>
              </w:rPr>
            </w:pPr>
          </w:p>
          <w:p w14:paraId="306CBDBB" w14:textId="20F8CFE6"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Strategic Leadership of TE Professional Development: Lead the design and implementation of a quality T</w:t>
            </w:r>
            <w:r w:rsidR="2E6B397F" w:rsidRPr="0B129B62">
              <w:rPr>
                <w:rFonts w:ascii="Lato" w:eastAsia="Lato" w:hAnsi="Lato" w:cs="Lato"/>
                <w:sz w:val="22"/>
                <w:szCs w:val="22"/>
              </w:rPr>
              <w:t xml:space="preserve">echnical Expertise </w:t>
            </w:r>
            <w:r w:rsidRPr="0B129B62">
              <w:rPr>
                <w:rFonts w:ascii="Lato" w:eastAsia="Lato" w:hAnsi="Lato" w:cs="Lato"/>
                <w:sz w:val="22"/>
                <w:szCs w:val="22"/>
              </w:rPr>
              <w:t>professional development offer for C</w:t>
            </w:r>
            <w:r w:rsidR="4FA94D88" w:rsidRPr="0B129B62">
              <w:rPr>
                <w:rFonts w:ascii="Lato" w:eastAsia="Lato" w:hAnsi="Lato" w:cs="Lato"/>
                <w:sz w:val="22"/>
                <w:szCs w:val="22"/>
              </w:rPr>
              <w:t xml:space="preserve">ountry Offices </w:t>
            </w:r>
            <w:r w:rsidRPr="0B129B62">
              <w:rPr>
                <w:rFonts w:ascii="Lato" w:eastAsia="Lato" w:hAnsi="Lato" w:cs="Lato"/>
                <w:sz w:val="22"/>
                <w:szCs w:val="22"/>
              </w:rPr>
              <w:t>and Member TEs, aligning with global strategy and HR best practices, and leveraging subject matter experts for a cost-effective model.</w:t>
            </w:r>
          </w:p>
          <w:p w14:paraId="643224B5" w14:textId="473BFA9A" w:rsidR="00DA0123" w:rsidRPr="005E601E" w:rsidRDefault="20436BCA" w:rsidP="6802BB1C">
            <w:pPr>
              <w:pStyle w:val="ListParagraph"/>
              <w:numPr>
                <w:ilvl w:val="0"/>
                <w:numId w:val="1"/>
              </w:numPr>
              <w:tabs>
                <w:tab w:val="left" w:pos="0"/>
                <w:tab w:val="left" w:pos="720"/>
              </w:tabs>
              <w:spacing w:after="160" w:line="276" w:lineRule="auto"/>
              <w:rPr>
                <w:rFonts w:ascii="Lato" w:eastAsia="Lato" w:hAnsi="Lato" w:cs="Lato"/>
                <w:sz w:val="22"/>
                <w:szCs w:val="22"/>
              </w:rPr>
            </w:pPr>
            <w:r w:rsidRPr="6802BB1C">
              <w:rPr>
                <w:rFonts w:ascii="Lato" w:eastAsia="Lato" w:hAnsi="Lato" w:cs="Lato"/>
                <w:sz w:val="22"/>
                <w:szCs w:val="22"/>
              </w:rPr>
              <w:t>Organisational Technical Excellence &amp; Capability: Lead standard setting and technical policies, including common approaches, policy, advocacy, and campaigns best practices, and programme policy, driving a rigorous process to strengthen project and change skills.</w:t>
            </w:r>
          </w:p>
          <w:p w14:paraId="0A1B2433" w14:textId="668B0FF9"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Program Quality Design Co-Leadership: Collaborate with other I&amp;I units to co-lead program quality design, focusing on the roles of T</w:t>
            </w:r>
            <w:r w:rsidR="7AC995DA" w:rsidRPr="0B129B62">
              <w:rPr>
                <w:rFonts w:ascii="Lato" w:eastAsia="Lato" w:hAnsi="Lato" w:cs="Lato"/>
                <w:sz w:val="22"/>
                <w:szCs w:val="22"/>
              </w:rPr>
              <w:t xml:space="preserve">echnical </w:t>
            </w:r>
            <w:r w:rsidRPr="0B129B62">
              <w:rPr>
                <w:rFonts w:ascii="Lato" w:eastAsia="Lato" w:hAnsi="Lato" w:cs="Lato"/>
                <w:sz w:val="22"/>
                <w:szCs w:val="22"/>
              </w:rPr>
              <w:t>E</w:t>
            </w:r>
            <w:r w:rsidR="70C3FA22" w:rsidRPr="0B129B62">
              <w:rPr>
                <w:rFonts w:ascii="Lato" w:eastAsia="Lato" w:hAnsi="Lato" w:cs="Lato"/>
                <w:sz w:val="22"/>
                <w:szCs w:val="22"/>
              </w:rPr>
              <w:t>xperts</w:t>
            </w:r>
            <w:r w:rsidRPr="0B129B62">
              <w:rPr>
                <w:rFonts w:ascii="Lato" w:eastAsia="Lato" w:hAnsi="Lato" w:cs="Lato"/>
                <w:sz w:val="22"/>
                <w:szCs w:val="22"/>
              </w:rPr>
              <w:t xml:space="preserve">, </w:t>
            </w:r>
            <w:r w:rsidR="4515AA31" w:rsidRPr="0B129B62">
              <w:rPr>
                <w:rFonts w:ascii="Lato" w:eastAsia="Lato" w:hAnsi="Lato" w:cs="Lato"/>
                <w:sz w:val="22"/>
                <w:szCs w:val="22"/>
              </w:rPr>
              <w:t>Advocacy Experts</w:t>
            </w:r>
            <w:r w:rsidRPr="0B129B62">
              <w:rPr>
                <w:rFonts w:ascii="Lato" w:eastAsia="Lato" w:hAnsi="Lato" w:cs="Lato"/>
                <w:sz w:val="22"/>
                <w:szCs w:val="22"/>
              </w:rPr>
              <w:t xml:space="preserve"> and P</w:t>
            </w:r>
            <w:r w:rsidR="29CF7D98" w:rsidRPr="0B129B62">
              <w:rPr>
                <w:rFonts w:ascii="Lato" w:eastAsia="Lato" w:hAnsi="Lato" w:cs="Lato"/>
                <w:sz w:val="22"/>
                <w:szCs w:val="22"/>
              </w:rPr>
              <w:t xml:space="preserve">rogram Development and Quality </w:t>
            </w:r>
            <w:r w:rsidRPr="0B129B62">
              <w:rPr>
                <w:rFonts w:ascii="Lato" w:eastAsia="Lato" w:hAnsi="Lato" w:cs="Lato"/>
                <w:sz w:val="22"/>
                <w:szCs w:val="22"/>
              </w:rPr>
              <w:t>Directors during the project cycle design phase.</w:t>
            </w:r>
          </w:p>
          <w:p w14:paraId="51E67F6D" w14:textId="1CD78D45"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Programs and Influencing Quality Standards: Coordinate I&amp;I units to uplift programs and influencing quality standards</w:t>
            </w:r>
            <w:r w:rsidR="1CE7C605" w:rsidRPr="0B129B62">
              <w:rPr>
                <w:rFonts w:ascii="Lato" w:eastAsia="Lato" w:hAnsi="Lato" w:cs="Lato"/>
                <w:sz w:val="22"/>
                <w:szCs w:val="22"/>
              </w:rPr>
              <w:t>.</w:t>
            </w:r>
          </w:p>
          <w:p w14:paraId="117699A2" w14:textId="443E8403" w:rsidR="00DA0123" w:rsidRPr="005E601E" w:rsidRDefault="20436BCA" w:rsidP="6802BB1C">
            <w:pPr>
              <w:pStyle w:val="ListParagraph"/>
              <w:numPr>
                <w:ilvl w:val="0"/>
                <w:numId w:val="1"/>
              </w:numPr>
              <w:tabs>
                <w:tab w:val="left" w:pos="0"/>
                <w:tab w:val="left" w:pos="720"/>
              </w:tabs>
              <w:spacing w:after="160" w:line="276" w:lineRule="auto"/>
              <w:rPr>
                <w:rFonts w:ascii="Lato" w:eastAsia="Lato" w:hAnsi="Lato" w:cs="Lato"/>
                <w:sz w:val="22"/>
                <w:szCs w:val="22"/>
              </w:rPr>
            </w:pPr>
            <w:r w:rsidRPr="6802BB1C">
              <w:rPr>
                <w:rFonts w:ascii="Lato" w:eastAsia="Lato" w:hAnsi="Lato" w:cs="Lato"/>
                <w:sz w:val="22"/>
                <w:szCs w:val="22"/>
              </w:rPr>
              <w:t>Performance Oversight and Reporting: Oversee, analyze, and report on the performance of technical expertise in implementing offices.</w:t>
            </w:r>
          </w:p>
          <w:p w14:paraId="38D82DDE" w14:textId="7A872713" w:rsidR="00DA0123" w:rsidRPr="005E601E" w:rsidRDefault="20436BCA" w:rsidP="6802BB1C">
            <w:pPr>
              <w:pStyle w:val="ListParagraph"/>
              <w:numPr>
                <w:ilvl w:val="0"/>
                <w:numId w:val="1"/>
              </w:numPr>
              <w:tabs>
                <w:tab w:val="left" w:pos="0"/>
                <w:tab w:val="left" w:pos="720"/>
              </w:tabs>
              <w:spacing w:after="160" w:line="276" w:lineRule="auto"/>
              <w:rPr>
                <w:rFonts w:ascii="Lato" w:eastAsia="Lato" w:hAnsi="Lato" w:cs="Lato"/>
                <w:sz w:val="22"/>
                <w:szCs w:val="22"/>
              </w:rPr>
            </w:pPr>
            <w:r w:rsidRPr="6802BB1C">
              <w:rPr>
                <w:rFonts w:ascii="Lato" w:eastAsia="Lato" w:hAnsi="Lato" w:cs="Lato"/>
                <w:sz w:val="22"/>
                <w:szCs w:val="22"/>
              </w:rPr>
              <w:t>Support for New Implementing Offices: Assist new implementing offices in establishing high-</w:t>
            </w:r>
            <w:r w:rsidRPr="6802BB1C">
              <w:rPr>
                <w:rFonts w:ascii="Lato" w:eastAsia="Lato" w:hAnsi="Lato" w:cs="Lato"/>
                <w:sz w:val="22"/>
                <w:szCs w:val="22"/>
              </w:rPr>
              <w:lastRenderedPageBreak/>
              <w:t>quality technical capacity and capability.</w:t>
            </w:r>
          </w:p>
          <w:p w14:paraId="378F50F8" w14:textId="78FA412E" w:rsidR="00DA0123" w:rsidRPr="005E601E" w:rsidRDefault="20436BCA" w:rsidP="6802BB1C">
            <w:pPr>
              <w:pStyle w:val="ListParagraph"/>
              <w:numPr>
                <w:ilvl w:val="0"/>
                <w:numId w:val="1"/>
              </w:numPr>
              <w:tabs>
                <w:tab w:val="left" w:pos="0"/>
                <w:tab w:val="left" w:pos="720"/>
              </w:tabs>
              <w:spacing w:after="160" w:line="276" w:lineRule="auto"/>
              <w:rPr>
                <w:rFonts w:ascii="Lato" w:eastAsia="Lato" w:hAnsi="Lato" w:cs="Lato"/>
                <w:sz w:val="22"/>
                <w:szCs w:val="22"/>
              </w:rPr>
            </w:pPr>
            <w:r w:rsidRPr="6802BB1C">
              <w:rPr>
                <w:rFonts w:ascii="Lato" w:eastAsia="Lato" w:hAnsi="Lato" w:cs="Lato"/>
                <w:sz w:val="22"/>
                <w:szCs w:val="22"/>
              </w:rPr>
              <w:t>Technical Expertise Budgeting: Collaborate with global finance teams to ensure technical expertise budgeting is included in global guidance, tools, and processes.</w:t>
            </w:r>
          </w:p>
          <w:p w14:paraId="3590D0C3" w14:textId="15436BCF"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 xml:space="preserve">Annual </w:t>
            </w:r>
            <w:r w:rsidR="4C07DC8E" w:rsidRPr="0B129B62">
              <w:rPr>
                <w:rFonts w:ascii="Lato" w:eastAsia="Lato" w:hAnsi="Lato" w:cs="Lato"/>
                <w:sz w:val="22"/>
                <w:szCs w:val="22"/>
              </w:rPr>
              <w:t>Technical Expertise allocation a</w:t>
            </w:r>
            <w:r w:rsidRPr="0B129B62">
              <w:rPr>
                <w:rFonts w:ascii="Lato" w:eastAsia="Lato" w:hAnsi="Lato" w:cs="Lato"/>
                <w:sz w:val="22"/>
                <w:szCs w:val="22"/>
              </w:rPr>
              <w:t>dministration: Administer the annual TE Allocation, working closely with C</w:t>
            </w:r>
            <w:r w:rsidR="0031A916" w:rsidRPr="0B129B62">
              <w:rPr>
                <w:rFonts w:ascii="Lato" w:eastAsia="Lato" w:hAnsi="Lato" w:cs="Lato"/>
                <w:sz w:val="22"/>
                <w:szCs w:val="22"/>
              </w:rPr>
              <w:t>ountry Offices</w:t>
            </w:r>
            <w:r w:rsidRPr="0B129B62">
              <w:rPr>
                <w:rFonts w:ascii="Lato" w:eastAsia="Lato" w:hAnsi="Lato" w:cs="Lato"/>
                <w:sz w:val="22"/>
                <w:szCs w:val="22"/>
              </w:rPr>
              <w:t xml:space="preserve"> and other I&amp;I teams to ensure the fund remains fit for purpose.</w:t>
            </w:r>
          </w:p>
          <w:p w14:paraId="0BAD21D5" w14:textId="296E0582"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Lead the uplift of</w:t>
            </w:r>
            <w:r w:rsidR="3C350F37" w:rsidRPr="0B129B62">
              <w:rPr>
                <w:rFonts w:ascii="Lato" w:eastAsia="Lato" w:hAnsi="Lato" w:cs="Lato"/>
                <w:sz w:val="22"/>
                <w:szCs w:val="22"/>
              </w:rPr>
              <w:t xml:space="preserve"> the Country Office Program Development and Quality Director and Advocacy</w:t>
            </w:r>
            <w:r w:rsidR="1E410E9E" w:rsidRPr="0B129B62">
              <w:rPr>
                <w:rFonts w:ascii="Lato" w:eastAsia="Lato" w:hAnsi="Lato" w:cs="Lato"/>
                <w:sz w:val="22"/>
                <w:szCs w:val="22"/>
              </w:rPr>
              <w:t xml:space="preserve"> &amp; Campaigns (A&amp;)</w:t>
            </w:r>
            <w:r w:rsidR="3C350F37" w:rsidRPr="0B129B62">
              <w:rPr>
                <w:rFonts w:ascii="Lato" w:eastAsia="Lato" w:hAnsi="Lato" w:cs="Lato"/>
                <w:sz w:val="22"/>
                <w:szCs w:val="22"/>
              </w:rPr>
              <w:t xml:space="preserve"> Director</w:t>
            </w:r>
            <w:r w:rsidRPr="0B129B62">
              <w:rPr>
                <w:rFonts w:ascii="Lato" w:eastAsia="Lato" w:hAnsi="Lato" w:cs="Lato"/>
                <w:sz w:val="22"/>
                <w:szCs w:val="22"/>
              </w:rPr>
              <w:t xml:space="preserve"> roles by driving retention, role clarity, professional development, and talent management, and fostering the necessary leadership and culture for optimal impact.</w:t>
            </w:r>
          </w:p>
          <w:p w14:paraId="0B1678AD" w14:textId="5A35F07F" w:rsidR="00DA0123" w:rsidRPr="005E601E" w:rsidRDefault="0C4E2CB7" w:rsidP="0B129B62">
            <w:pPr>
              <w:pStyle w:val="ListParagraph"/>
              <w:numPr>
                <w:ilvl w:val="0"/>
                <w:numId w:val="1"/>
              </w:numPr>
              <w:tabs>
                <w:tab w:val="left" w:pos="720"/>
              </w:tabs>
              <w:spacing w:after="160" w:line="276" w:lineRule="auto"/>
              <w:rPr>
                <w:rFonts w:ascii="Lato" w:eastAsia="Lato" w:hAnsi="Lato" w:cs="Lato"/>
                <w:sz w:val="22"/>
                <w:szCs w:val="22"/>
              </w:rPr>
            </w:pPr>
            <w:r w:rsidRPr="0B129B62">
              <w:rPr>
                <w:rFonts w:ascii="Lato" w:eastAsia="Lato" w:hAnsi="Lato" w:cs="Lato"/>
                <w:sz w:val="22"/>
                <w:szCs w:val="22"/>
              </w:rPr>
              <w:t>A</w:t>
            </w:r>
            <w:r w:rsidR="68AB6667" w:rsidRPr="0B129B62">
              <w:rPr>
                <w:rFonts w:ascii="Lato" w:eastAsia="Lato" w:hAnsi="Lato" w:cs="Lato"/>
                <w:sz w:val="22"/>
                <w:szCs w:val="22"/>
              </w:rPr>
              <w:t xml:space="preserve">dvocacy and Campaigns </w:t>
            </w:r>
            <w:r w:rsidRPr="0B129B62">
              <w:rPr>
                <w:rFonts w:ascii="Lato" w:eastAsia="Lato" w:hAnsi="Lato" w:cs="Lato"/>
                <w:sz w:val="22"/>
                <w:szCs w:val="22"/>
              </w:rPr>
              <w:t>Resourcing and Recruitment: Focus on A&amp;C resourcing in line with KPIs, and drive the recruitment and retention of A</w:t>
            </w:r>
            <w:r w:rsidR="27AB6B76" w:rsidRPr="0B129B62">
              <w:rPr>
                <w:rFonts w:ascii="Lato" w:eastAsia="Lato" w:hAnsi="Lato" w:cs="Lato"/>
                <w:sz w:val="22"/>
                <w:szCs w:val="22"/>
              </w:rPr>
              <w:t>&amp;C</w:t>
            </w:r>
            <w:r w:rsidRPr="0B129B62">
              <w:rPr>
                <w:rFonts w:ascii="Lato" w:eastAsia="Lato" w:hAnsi="Lato" w:cs="Lato"/>
                <w:sz w:val="22"/>
                <w:szCs w:val="22"/>
              </w:rPr>
              <w:t xml:space="preserve"> Directors in alignment with SLT prioritization. </w:t>
            </w:r>
          </w:p>
        </w:tc>
      </w:tr>
    </w:tbl>
    <w:p w14:paraId="07EC9084"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18B47B91" w14:textId="77777777" w:rsidTr="6802BB1C">
        <w:tc>
          <w:tcPr>
            <w:tcW w:w="10296" w:type="dxa"/>
            <w:shd w:val="clear" w:color="auto" w:fill="D5E0E1"/>
          </w:tcPr>
          <w:p w14:paraId="1970D552" w14:textId="77777777" w:rsidR="00B42C23" w:rsidRPr="005E601E" w:rsidRDefault="00B42C23" w:rsidP="6802BB1C">
            <w:pPr>
              <w:rPr>
                <w:rFonts w:ascii="Lato" w:hAnsi="Lato"/>
                <w:b/>
                <w:bCs/>
                <w:sz w:val="22"/>
                <w:szCs w:val="22"/>
              </w:rPr>
            </w:pPr>
            <w:r w:rsidRPr="6802BB1C">
              <w:rPr>
                <w:rFonts w:ascii="Lato" w:hAnsi="Lato"/>
                <w:b/>
                <w:bCs/>
                <w:sz w:val="22"/>
                <w:szCs w:val="22"/>
              </w:rPr>
              <w:t>Budget</w:t>
            </w:r>
          </w:p>
        </w:tc>
      </w:tr>
      <w:tr w:rsidR="00B42C23" w:rsidRPr="005E601E" w14:paraId="7B527F83" w14:textId="77777777" w:rsidTr="6802BB1C">
        <w:tc>
          <w:tcPr>
            <w:tcW w:w="10296" w:type="dxa"/>
          </w:tcPr>
          <w:p w14:paraId="5EF515CF" w14:textId="2772A7E3" w:rsidR="00B42C23" w:rsidRPr="00B42C23" w:rsidRDefault="4AE7EE53" w:rsidP="6802BB1C">
            <w:pPr>
              <w:rPr>
                <w:rFonts w:ascii="Lato" w:hAnsi="Lato"/>
                <w:sz w:val="22"/>
                <w:szCs w:val="22"/>
              </w:rPr>
            </w:pPr>
            <w:r w:rsidRPr="6802BB1C">
              <w:rPr>
                <w:rFonts w:ascii="Lato" w:hAnsi="Lato"/>
                <w:sz w:val="22"/>
                <w:szCs w:val="22"/>
              </w:rPr>
              <w:t xml:space="preserve">The role has budget Management Responsibilities </w:t>
            </w:r>
          </w:p>
        </w:tc>
      </w:tr>
    </w:tbl>
    <w:p w14:paraId="26F2B23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1BFC3A40" w14:textId="77777777" w:rsidTr="00033EB6">
        <w:tc>
          <w:tcPr>
            <w:tcW w:w="10296" w:type="dxa"/>
            <w:shd w:val="clear" w:color="auto" w:fill="D5E0E1"/>
          </w:tcPr>
          <w:p w14:paraId="47AB919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47304CAC" w14:textId="77777777" w:rsidTr="00033EB6">
        <w:tc>
          <w:tcPr>
            <w:tcW w:w="10296" w:type="dxa"/>
          </w:tcPr>
          <w:p w14:paraId="3653632C"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B067C3" w:rsidRPr="003519F9">
              <w:rPr>
                <w:rFonts w:ascii="Lato" w:hAnsi="Lato"/>
                <w:bCs/>
                <w:noProof/>
                <w:sz w:val="22"/>
                <w:szCs w:val="22"/>
              </w:rPr>
              <w:t>3</w:t>
            </w:r>
          </w:p>
          <w:p w14:paraId="3810521F" w14:textId="77777777" w:rsidR="00B42C23" w:rsidRDefault="00B42C23" w:rsidP="00B42C23">
            <w:pPr>
              <w:rPr>
                <w:rFonts w:ascii="Lato" w:hAnsi="Lato"/>
                <w:bCs/>
                <w:sz w:val="22"/>
                <w:szCs w:val="22"/>
              </w:rPr>
            </w:pPr>
            <w:r>
              <w:rPr>
                <w:rFonts w:ascii="Lato" w:hAnsi="Lato"/>
                <w:bCs/>
                <w:sz w:val="22"/>
                <w:szCs w:val="22"/>
              </w:rPr>
              <w:t xml:space="preserve">Manager of a team: </w:t>
            </w:r>
            <w:r w:rsidR="00B067C3" w:rsidRPr="003519F9">
              <w:rPr>
                <w:rFonts w:ascii="Lato" w:hAnsi="Lato"/>
                <w:bCs/>
                <w:noProof/>
                <w:sz w:val="22"/>
                <w:szCs w:val="22"/>
              </w:rPr>
              <w:t>Yes</w:t>
            </w:r>
          </w:p>
          <w:p w14:paraId="652B3F82"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B067C3" w:rsidRPr="003519F9">
              <w:rPr>
                <w:rFonts w:ascii="Lato" w:hAnsi="Lato"/>
                <w:bCs/>
                <w:noProof/>
                <w:sz w:val="22"/>
                <w:szCs w:val="22"/>
              </w:rPr>
              <w:t>No</w:t>
            </w:r>
          </w:p>
        </w:tc>
      </w:tr>
    </w:tbl>
    <w:p w14:paraId="22FA324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72E8C3B1" w14:textId="77777777" w:rsidTr="00033EB6">
        <w:tc>
          <w:tcPr>
            <w:tcW w:w="10296" w:type="dxa"/>
            <w:shd w:val="clear" w:color="auto" w:fill="D5E0E1"/>
          </w:tcPr>
          <w:p w14:paraId="7367DF27"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09717F5" w14:textId="77777777" w:rsidTr="00033EB6">
        <w:tc>
          <w:tcPr>
            <w:tcW w:w="10296" w:type="dxa"/>
          </w:tcPr>
          <w:p w14:paraId="66A84620" w14:textId="77777777" w:rsidR="008F7976" w:rsidRPr="00B42C23" w:rsidRDefault="00B067C3" w:rsidP="00033EB6">
            <w:pPr>
              <w:rPr>
                <w:rFonts w:ascii="Lato" w:hAnsi="Lato"/>
                <w:bCs/>
                <w:sz w:val="22"/>
                <w:szCs w:val="22"/>
              </w:rPr>
            </w:pPr>
            <w:r w:rsidRPr="003519F9">
              <w:rPr>
                <w:rFonts w:ascii="Lato" w:hAnsi="Lato"/>
                <w:bCs/>
                <w:noProof/>
                <w:sz w:val="22"/>
                <w:szCs w:val="22"/>
              </w:rPr>
              <w:t>Multiple countries or Functions</w:t>
            </w:r>
          </w:p>
        </w:tc>
      </w:tr>
    </w:tbl>
    <w:p w14:paraId="1F7F062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54D6118" w14:textId="77777777" w:rsidTr="00033EB6">
        <w:tc>
          <w:tcPr>
            <w:tcW w:w="10296" w:type="dxa"/>
            <w:shd w:val="clear" w:color="auto" w:fill="D5E0E1"/>
          </w:tcPr>
          <w:p w14:paraId="671B81BF"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089F4623" w14:textId="77777777" w:rsidTr="00033EB6">
        <w:tc>
          <w:tcPr>
            <w:tcW w:w="10296" w:type="dxa"/>
          </w:tcPr>
          <w:p w14:paraId="24928DFE"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B067C3" w:rsidRPr="003519F9">
              <w:rPr>
                <w:rFonts w:ascii="Lato" w:hAnsi="Lato"/>
                <w:bCs/>
                <w:noProof/>
                <w:sz w:val="22"/>
                <w:szCs w:val="22"/>
              </w:rPr>
              <w:t>Yes</w:t>
            </w:r>
          </w:p>
          <w:p w14:paraId="255E0C90" w14:textId="77777777" w:rsidR="008F7976" w:rsidRDefault="008F7976" w:rsidP="008F7976">
            <w:pPr>
              <w:rPr>
                <w:rFonts w:ascii="Lato" w:hAnsi="Lato"/>
                <w:bCs/>
                <w:sz w:val="22"/>
                <w:szCs w:val="22"/>
              </w:rPr>
            </w:pPr>
          </w:p>
          <w:p w14:paraId="2414A823"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B067C3" w:rsidRPr="003519F9">
              <w:rPr>
                <w:rFonts w:ascii="Lato" w:hAnsi="Lato"/>
                <w:bCs/>
                <w:noProof/>
                <w:sz w:val="22"/>
                <w:szCs w:val="22"/>
              </w:rPr>
              <w:t>Up to 20%</w:t>
            </w:r>
          </w:p>
          <w:p w14:paraId="4783068E" w14:textId="77777777" w:rsidR="008F7976" w:rsidRPr="00B42C23" w:rsidRDefault="008F7976" w:rsidP="00033EB6">
            <w:pPr>
              <w:rPr>
                <w:rFonts w:ascii="Lato" w:hAnsi="Lato"/>
                <w:bCs/>
                <w:sz w:val="22"/>
                <w:szCs w:val="22"/>
              </w:rPr>
            </w:pPr>
          </w:p>
        </w:tc>
      </w:tr>
    </w:tbl>
    <w:p w14:paraId="61526A4E"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371795" w14:textId="77777777" w:rsidTr="00033EB6">
        <w:tc>
          <w:tcPr>
            <w:tcW w:w="10296" w:type="dxa"/>
            <w:shd w:val="clear" w:color="auto" w:fill="D5E0E1"/>
          </w:tcPr>
          <w:p w14:paraId="31C51804"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8B03593" w14:textId="77777777" w:rsidTr="00033EB6">
        <w:trPr>
          <w:trHeight w:val="854"/>
        </w:trPr>
        <w:tc>
          <w:tcPr>
            <w:tcW w:w="10296" w:type="dxa"/>
          </w:tcPr>
          <w:p w14:paraId="6990AFEE"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EBA2097" w14:textId="77777777" w:rsidR="002E64D8" w:rsidRDefault="002E64D8" w:rsidP="00033EB6">
            <w:pPr>
              <w:rPr>
                <w:rFonts w:ascii="Lato" w:hAnsi="Lato"/>
                <w:b/>
                <w:sz w:val="22"/>
                <w:szCs w:val="22"/>
              </w:rPr>
            </w:pPr>
          </w:p>
          <w:p w14:paraId="7581269B" w14:textId="77777777" w:rsidR="004B15A5" w:rsidRDefault="00B067C3" w:rsidP="00AF6924">
            <w:pPr>
              <w:numPr>
                <w:ilvl w:val="0"/>
                <w:numId w:val="11"/>
              </w:numPr>
              <w:rPr>
                <w:rFonts w:ascii="Lato" w:hAnsi="Lato"/>
                <w:bCs/>
                <w:noProof/>
                <w:sz w:val="22"/>
                <w:szCs w:val="22"/>
              </w:rPr>
            </w:pPr>
            <w:r w:rsidRPr="003519F9">
              <w:rPr>
                <w:rFonts w:ascii="Lato" w:hAnsi="Lato"/>
                <w:bCs/>
                <w:noProof/>
                <w:sz w:val="22"/>
                <w:szCs w:val="22"/>
              </w:rPr>
              <w:t>Senior Leadership Team: Close collaboration with the senior leadership team to align on strategic priorities and organizational goals.</w:t>
            </w:r>
          </w:p>
          <w:p w14:paraId="76B2FBEC" w14:textId="77777777" w:rsidR="004B15A5" w:rsidRDefault="00B067C3" w:rsidP="00AF6924">
            <w:pPr>
              <w:numPr>
                <w:ilvl w:val="0"/>
                <w:numId w:val="11"/>
              </w:numPr>
              <w:rPr>
                <w:rFonts w:ascii="Lato" w:hAnsi="Lato"/>
                <w:bCs/>
                <w:noProof/>
                <w:sz w:val="22"/>
                <w:szCs w:val="22"/>
              </w:rPr>
            </w:pPr>
            <w:r w:rsidRPr="004B15A5">
              <w:rPr>
                <w:rFonts w:ascii="Lato" w:hAnsi="Lato"/>
                <w:bCs/>
                <w:noProof/>
                <w:sz w:val="22"/>
                <w:szCs w:val="22"/>
              </w:rPr>
              <w:t>Technical Specialists and Advisors: Engagement with technical experts and advisors to drive innovation, ensure technical rigor, and uphold professional standards.</w:t>
            </w:r>
          </w:p>
          <w:p w14:paraId="4B777110" w14:textId="77777777" w:rsidR="004B15A5" w:rsidRDefault="00B067C3" w:rsidP="00AF6924">
            <w:pPr>
              <w:numPr>
                <w:ilvl w:val="0"/>
                <w:numId w:val="11"/>
              </w:numPr>
              <w:rPr>
                <w:rFonts w:ascii="Lato" w:hAnsi="Lato"/>
                <w:bCs/>
                <w:noProof/>
                <w:sz w:val="22"/>
                <w:szCs w:val="22"/>
              </w:rPr>
            </w:pPr>
            <w:r w:rsidRPr="004B15A5">
              <w:rPr>
                <w:rFonts w:ascii="Lato" w:hAnsi="Lato"/>
                <w:bCs/>
                <w:noProof/>
                <w:sz w:val="22"/>
                <w:szCs w:val="22"/>
              </w:rPr>
              <w:t>Program Development and Impact Teams: Partnership with program teams to integrate technical excellence into program design, implementation, and evaluation.</w:t>
            </w:r>
          </w:p>
          <w:p w14:paraId="4039550B" w14:textId="77777777" w:rsidR="004B15A5" w:rsidRDefault="00B067C3" w:rsidP="00AF6924">
            <w:pPr>
              <w:numPr>
                <w:ilvl w:val="0"/>
                <w:numId w:val="11"/>
              </w:numPr>
              <w:rPr>
                <w:rFonts w:ascii="Lato" w:hAnsi="Lato"/>
                <w:bCs/>
                <w:noProof/>
                <w:sz w:val="22"/>
                <w:szCs w:val="22"/>
              </w:rPr>
            </w:pPr>
            <w:r w:rsidRPr="004B15A5">
              <w:rPr>
                <w:rFonts w:ascii="Lato" w:hAnsi="Lato"/>
                <w:bCs/>
                <w:noProof/>
                <w:sz w:val="22"/>
                <w:szCs w:val="22"/>
              </w:rPr>
              <w:t>Monitoring and Evaluation Units: Working alongside monitoring and evaluation units to measure and enhance the impact of technical interventions.</w:t>
            </w:r>
          </w:p>
          <w:p w14:paraId="728065DA" w14:textId="77777777" w:rsidR="004B15A5" w:rsidRDefault="00B067C3" w:rsidP="00033EB6">
            <w:pPr>
              <w:numPr>
                <w:ilvl w:val="0"/>
                <w:numId w:val="11"/>
              </w:numPr>
              <w:rPr>
                <w:rFonts w:ascii="Lato" w:hAnsi="Lato"/>
                <w:bCs/>
                <w:noProof/>
                <w:sz w:val="22"/>
                <w:szCs w:val="22"/>
              </w:rPr>
            </w:pPr>
            <w:r w:rsidRPr="004B15A5">
              <w:rPr>
                <w:rFonts w:ascii="Lato" w:hAnsi="Lato"/>
                <w:bCs/>
                <w:noProof/>
                <w:sz w:val="22"/>
                <w:szCs w:val="22"/>
              </w:rPr>
              <w:t>Learning and Development Department: Cooperation with learning and development teams to build organizational capacity and promote continuous improvement.</w:t>
            </w:r>
          </w:p>
          <w:p w14:paraId="42D05AC0" w14:textId="77777777" w:rsidR="002E64D8" w:rsidRPr="004B15A5" w:rsidRDefault="00B067C3" w:rsidP="00033EB6">
            <w:pPr>
              <w:numPr>
                <w:ilvl w:val="0"/>
                <w:numId w:val="11"/>
              </w:numPr>
              <w:rPr>
                <w:rFonts w:ascii="Lato" w:hAnsi="Lato"/>
                <w:bCs/>
                <w:noProof/>
                <w:sz w:val="22"/>
                <w:szCs w:val="22"/>
              </w:rPr>
            </w:pPr>
            <w:r w:rsidRPr="004B15A5">
              <w:rPr>
                <w:rFonts w:ascii="Lato" w:hAnsi="Lato"/>
                <w:bCs/>
                <w:noProof/>
                <w:sz w:val="22"/>
                <w:szCs w:val="22"/>
              </w:rPr>
              <w:t>Operations and Support Functions: Interaction with operations, finance, and other support functions to ensure streamlined processes and resource allocation.</w:t>
            </w:r>
          </w:p>
          <w:p w14:paraId="4E3649A5" w14:textId="77777777" w:rsidR="002E64D8" w:rsidRDefault="002E64D8" w:rsidP="00033EB6">
            <w:pPr>
              <w:rPr>
                <w:rFonts w:ascii="Lato" w:hAnsi="Lato"/>
                <w:bCs/>
                <w:sz w:val="22"/>
                <w:szCs w:val="22"/>
              </w:rPr>
            </w:pPr>
          </w:p>
          <w:p w14:paraId="13B42D3D" w14:textId="77777777" w:rsidR="002E64D8" w:rsidRDefault="002E64D8" w:rsidP="00033EB6">
            <w:pPr>
              <w:rPr>
                <w:rFonts w:ascii="Lato" w:hAnsi="Lato"/>
                <w:b/>
                <w:sz w:val="22"/>
                <w:szCs w:val="22"/>
              </w:rPr>
            </w:pPr>
            <w:r w:rsidRPr="005E601E">
              <w:rPr>
                <w:rFonts w:ascii="Lato" w:hAnsi="Lato"/>
                <w:b/>
                <w:sz w:val="22"/>
                <w:szCs w:val="22"/>
              </w:rPr>
              <w:t>External</w:t>
            </w:r>
          </w:p>
          <w:p w14:paraId="02383F07" w14:textId="77777777" w:rsidR="002E64D8" w:rsidRDefault="002E64D8" w:rsidP="00033EB6">
            <w:pPr>
              <w:rPr>
                <w:rFonts w:ascii="Lato" w:hAnsi="Lato"/>
                <w:b/>
                <w:sz w:val="22"/>
                <w:szCs w:val="22"/>
              </w:rPr>
            </w:pPr>
          </w:p>
          <w:p w14:paraId="42D6960E" w14:textId="77777777" w:rsidR="004B15A5" w:rsidRDefault="00B067C3" w:rsidP="00AF6924">
            <w:pPr>
              <w:numPr>
                <w:ilvl w:val="0"/>
                <w:numId w:val="12"/>
              </w:numPr>
              <w:rPr>
                <w:rFonts w:ascii="Lato" w:hAnsi="Lato"/>
                <w:bCs/>
                <w:noProof/>
                <w:sz w:val="22"/>
                <w:szCs w:val="22"/>
              </w:rPr>
            </w:pPr>
            <w:r w:rsidRPr="003519F9">
              <w:rPr>
                <w:rFonts w:ascii="Lato" w:hAnsi="Lato"/>
                <w:bCs/>
                <w:noProof/>
                <w:sz w:val="22"/>
                <w:szCs w:val="22"/>
              </w:rPr>
              <w:t>Government Agencies: Collaboration with relevant government departments and agencies to align on policies, regulatory requirements, and potential funding opportunities.</w:t>
            </w:r>
          </w:p>
          <w:p w14:paraId="3D477EDD" w14:textId="77777777" w:rsidR="004B15A5" w:rsidRDefault="00B067C3" w:rsidP="00AF6924">
            <w:pPr>
              <w:numPr>
                <w:ilvl w:val="0"/>
                <w:numId w:val="12"/>
              </w:numPr>
              <w:rPr>
                <w:rFonts w:ascii="Lato" w:hAnsi="Lato"/>
                <w:bCs/>
                <w:noProof/>
                <w:sz w:val="22"/>
                <w:szCs w:val="22"/>
              </w:rPr>
            </w:pPr>
            <w:r w:rsidRPr="004B15A5">
              <w:rPr>
                <w:rFonts w:ascii="Lato" w:hAnsi="Lato"/>
                <w:bCs/>
                <w:noProof/>
                <w:sz w:val="22"/>
                <w:szCs w:val="22"/>
              </w:rPr>
              <w:t>International and National NGOs: Partnership with other non-governmental organizations to share best practices, resources, and jointly work on initiatives that benefit children.</w:t>
            </w:r>
          </w:p>
          <w:p w14:paraId="7ADAC4B7" w14:textId="77777777" w:rsidR="004B15A5" w:rsidRDefault="00B067C3" w:rsidP="00AF6924">
            <w:pPr>
              <w:numPr>
                <w:ilvl w:val="0"/>
                <w:numId w:val="12"/>
              </w:numPr>
              <w:rPr>
                <w:rFonts w:ascii="Lato" w:hAnsi="Lato"/>
                <w:bCs/>
                <w:noProof/>
                <w:sz w:val="22"/>
                <w:szCs w:val="22"/>
              </w:rPr>
            </w:pPr>
            <w:r w:rsidRPr="004B15A5">
              <w:rPr>
                <w:rFonts w:ascii="Lato" w:hAnsi="Lato"/>
                <w:bCs/>
                <w:noProof/>
                <w:sz w:val="22"/>
                <w:szCs w:val="22"/>
              </w:rPr>
              <w:lastRenderedPageBreak/>
              <w:t>Donors and Funding Bodies: Engagement with international and local donors to secure funding, provide updates on project progress, and report on impact.</w:t>
            </w:r>
          </w:p>
          <w:p w14:paraId="35B997EB" w14:textId="77777777" w:rsidR="004B15A5" w:rsidRDefault="00B067C3" w:rsidP="00AF6924">
            <w:pPr>
              <w:numPr>
                <w:ilvl w:val="0"/>
                <w:numId w:val="12"/>
              </w:numPr>
              <w:rPr>
                <w:rFonts w:ascii="Lato" w:hAnsi="Lato"/>
                <w:bCs/>
                <w:noProof/>
                <w:sz w:val="22"/>
                <w:szCs w:val="22"/>
              </w:rPr>
            </w:pPr>
            <w:r w:rsidRPr="004B15A5">
              <w:rPr>
                <w:rFonts w:ascii="Lato" w:hAnsi="Lato"/>
                <w:bCs/>
                <w:noProof/>
                <w:sz w:val="22"/>
                <w:szCs w:val="22"/>
              </w:rPr>
              <w:t>Technical Experts and Consultants: Interaction with independent consultants and experts to bring in external knowledge, expertise, and innovative solutions.</w:t>
            </w:r>
          </w:p>
          <w:p w14:paraId="2C05DA87" w14:textId="77777777" w:rsidR="004B15A5" w:rsidRDefault="00B067C3" w:rsidP="00AF6924">
            <w:pPr>
              <w:numPr>
                <w:ilvl w:val="0"/>
                <w:numId w:val="12"/>
              </w:numPr>
              <w:rPr>
                <w:rFonts w:ascii="Lato" w:hAnsi="Lato"/>
                <w:bCs/>
                <w:noProof/>
                <w:sz w:val="22"/>
                <w:szCs w:val="22"/>
              </w:rPr>
            </w:pPr>
            <w:r w:rsidRPr="004B15A5">
              <w:rPr>
                <w:rFonts w:ascii="Lato" w:hAnsi="Lato"/>
                <w:bCs/>
                <w:noProof/>
                <w:sz w:val="22"/>
                <w:szCs w:val="22"/>
              </w:rPr>
              <w:t>Academic and Research Institutions: Collaboration with universities and research institutions for evidence-based practices, research studies, and capacity building.</w:t>
            </w:r>
          </w:p>
          <w:p w14:paraId="779D43CF" w14:textId="77777777" w:rsidR="004B15A5" w:rsidRDefault="00B067C3" w:rsidP="00AF6924">
            <w:pPr>
              <w:numPr>
                <w:ilvl w:val="0"/>
                <w:numId w:val="12"/>
              </w:numPr>
              <w:rPr>
                <w:rFonts w:ascii="Lato" w:hAnsi="Lato"/>
                <w:bCs/>
                <w:noProof/>
                <w:sz w:val="22"/>
                <w:szCs w:val="22"/>
              </w:rPr>
            </w:pPr>
            <w:r w:rsidRPr="004B15A5">
              <w:rPr>
                <w:rFonts w:ascii="Lato" w:hAnsi="Lato"/>
                <w:bCs/>
                <w:noProof/>
                <w:sz w:val="22"/>
                <w:szCs w:val="22"/>
              </w:rPr>
              <w:t>Private Sector and Corporate Partners: Building relationships with private sector entities for funding, corporate social responsibility (CSR) initiatives, and partnerships that drive mutual benefits.</w:t>
            </w:r>
          </w:p>
          <w:p w14:paraId="673F4313" w14:textId="77777777" w:rsidR="004B15A5" w:rsidRDefault="00B067C3" w:rsidP="00033EB6">
            <w:pPr>
              <w:numPr>
                <w:ilvl w:val="0"/>
                <w:numId w:val="12"/>
              </w:numPr>
              <w:rPr>
                <w:rFonts w:ascii="Lato" w:hAnsi="Lato"/>
                <w:bCs/>
                <w:noProof/>
                <w:sz w:val="22"/>
                <w:szCs w:val="22"/>
              </w:rPr>
            </w:pPr>
            <w:r w:rsidRPr="004B15A5">
              <w:rPr>
                <w:rFonts w:ascii="Lato" w:hAnsi="Lato"/>
                <w:bCs/>
                <w:noProof/>
                <w:sz w:val="22"/>
                <w:szCs w:val="22"/>
              </w:rPr>
              <w:t>Community Organizations and Leaders: Working with local community organizations and leaders to ensure that interventions are culturally appropriate and have community buy-in.</w:t>
            </w:r>
          </w:p>
          <w:p w14:paraId="00FD18E2" w14:textId="77777777" w:rsidR="002E64D8" w:rsidRPr="004B15A5" w:rsidRDefault="00B067C3" w:rsidP="00033EB6">
            <w:pPr>
              <w:numPr>
                <w:ilvl w:val="0"/>
                <w:numId w:val="12"/>
              </w:numPr>
              <w:rPr>
                <w:rFonts w:ascii="Lato" w:hAnsi="Lato"/>
                <w:bCs/>
                <w:noProof/>
                <w:sz w:val="22"/>
                <w:szCs w:val="22"/>
              </w:rPr>
            </w:pPr>
            <w:r w:rsidRPr="004B15A5">
              <w:rPr>
                <w:rFonts w:ascii="Lato" w:hAnsi="Lato"/>
                <w:bCs/>
                <w:noProof/>
                <w:sz w:val="22"/>
                <w:szCs w:val="22"/>
              </w:rPr>
              <w:t>Media Outlets: Engaging with the media to raise awareness, advocate for child rights, and promote organizational successes and needs.</w:t>
            </w:r>
          </w:p>
        </w:tc>
      </w:tr>
    </w:tbl>
    <w:p w14:paraId="6B0406F7"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137E189" w14:textId="77777777" w:rsidTr="00033EB6">
        <w:tc>
          <w:tcPr>
            <w:tcW w:w="10296" w:type="dxa"/>
            <w:shd w:val="clear" w:color="auto" w:fill="D5E0E1"/>
          </w:tcPr>
          <w:p w14:paraId="148C30C6"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3485243" w14:textId="77777777" w:rsidTr="00033EB6">
        <w:trPr>
          <w:trHeight w:val="854"/>
        </w:trPr>
        <w:tc>
          <w:tcPr>
            <w:tcW w:w="10296" w:type="dxa"/>
          </w:tcPr>
          <w:p w14:paraId="37D43B28"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Leading</w:t>
            </w:r>
          </w:p>
          <w:p w14:paraId="63EE4712"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Leading and inspiring others</w:t>
            </w:r>
          </w:p>
          <w:p w14:paraId="472959B3"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186311E7" w14:textId="77777777" w:rsidR="00B067C3" w:rsidRDefault="00B067C3" w:rsidP="00AF6924">
            <w:pPr>
              <w:rPr>
                <w:rFonts w:ascii="Lato" w:hAnsi="Lato"/>
                <w:bCs/>
                <w:noProof/>
                <w:sz w:val="22"/>
                <w:szCs w:val="22"/>
              </w:rPr>
            </w:pPr>
            <w:r w:rsidRPr="003519F9">
              <w:rPr>
                <w:rFonts w:ascii="Lato" w:hAnsi="Lato"/>
                <w:bCs/>
                <w:noProof/>
                <w:sz w:val="22"/>
                <w:szCs w:val="22"/>
              </w:rPr>
              <w:t>Behavioural Indicator: Creates and engages others in a shared vision and strategy that will deliver more for children.</w:t>
            </w:r>
          </w:p>
          <w:p w14:paraId="2BB297A5" w14:textId="77777777" w:rsidR="004B15A5" w:rsidRPr="003519F9" w:rsidRDefault="004B15A5" w:rsidP="00AF6924">
            <w:pPr>
              <w:rPr>
                <w:rFonts w:ascii="Lato" w:hAnsi="Lato"/>
                <w:bCs/>
                <w:noProof/>
                <w:sz w:val="22"/>
                <w:szCs w:val="22"/>
              </w:rPr>
            </w:pPr>
          </w:p>
          <w:p w14:paraId="7D706EC7"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Leading</w:t>
            </w:r>
          </w:p>
          <w:p w14:paraId="5D56C054"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Delivering results</w:t>
            </w:r>
          </w:p>
          <w:p w14:paraId="641D300E"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4EC9653F" w14:textId="77777777" w:rsidR="00B067C3" w:rsidRPr="003519F9" w:rsidRDefault="00B067C3" w:rsidP="00AF6924">
            <w:pPr>
              <w:rPr>
                <w:rFonts w:ascii="Lato" w:hAnsi="Lato"/>
                <w:bCs/>
                <w:noProof/>
                <w:sz w:val="22"/>
                <w:szCs w:val="22"/>
              </w:rPr>
            </w:pPr>
            <w:r w:rsidRPr="003519F9">
              <w:rPr>
                <w:rFonts w:ascii="Lato" w:hAnsi="Lato"/>
                <w:bCs/>
                <w:noProof/>
                <w:sz w:val="22"/>
                <w:szCs w:val="22"/>
              </w:rPr>
              <w:t>Behavioural Indicator: Pursues opportunities managing risks and uncertainty to enable the organisation to deliver more for children.</w:t>
            </w:r>
          </w:p>
          <w:p w14:paraId="1F3E0BC3" w14:textId="77777777" w:rsidR="004B15A5" w:rsidRDefault="004B15A5" w:rsidP="00AF6924">
            <w:pPr>
              <w:rPr>
                <w:rFonts w:ascii="Lato" w:hAnsi="Lato"/>
                <w:bCs/>
                <w:noProof/>
                <w:sz w:val="22"/>
                <w:szCs w:val="22"/>
              </w:rPr>
            </w:pPr>
          </w:p>
          <w:p w14:paraId="2A560491"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Thinking</w:t>
            </w:r>
          </w:p>
          <w:p w14:paraId="40FA0884"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Innovating and adapting</w:t>
            </w:r>
          </w:p>
          <w:p w14:paraId="532581A0"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60EAB083" w14:textId="77777777" w:rsidR="00B067C3" w:rsidRPr="003519F9" w:rsidRDefault="00B067C3" w:rsidP="00AF6924">
            <w:pPr>
              <w:rPr>
                <w:rFonts w:ascii="Lato" w:hAnsi="Lato"/>
                <w:bCs/>
                <w:noProof/>
                <w:sz w:val="22"/>
                <w:szCs w:val="22"/>
              </w:rPr>
            </w:pPr>
            <w:r w:rsidRPr="003519F9">
              <w:rPr>
                <w:rFonts w:ascii="Lato" w:hAnsi="Lato"/>
                <w:bCs/>
                <w:noProof/>
                <w:sz w:val="22"/>
                <w:szCs w:val="22"/>
              </w:rPr>
              <w:t>Behavioural Indicator: Drives innovation and breakthrough solutions to improve outcomes for children.</w:t>
            </w:r>
          </w:p>
          <w:p w14:paraId="2682862E" w14:textId="77777777" w:rsidR="004B15A5" w:rsidRDefault="004B15A5" w:rsidP="00AF6924">
            <w:pPr>
              <w:rPr>
                <w:rFonts w:ascii="Lato" w:hAnsi="Lato"/>
                <w:bCs/>
                <w:noProof/>
                <w:sz w:val="22"/>
                <w:szCs w:val="22"/>
              </w:rPr>
            </w:pPr>
          </w:p>
          <w:p w14:paraId="78625E76"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Thinking</w:t>
            </w:r>
          </w:p>
          <w:p w14:paraId="70CEC735"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Applying technical and professional expertise</w:t>
            </w:r>
          </w:p>
          <w:p w14:paraId="47BD1D49"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3D195C0D" w14:textId="77777777" w:rsidR="00B067C3" w:rsidRPr="003519F9" w:rsidRDefault="00B067C3" w:rsidP="00AF6924">
            <w:pPr>
              <w:rPr>
                <w:rFonts w:ascii="Lato" w:hAnsi="Lato"/>
                <w:bCs/>
                <w:noProof/>
                <w:sz w:val="22"/>
                <w:szCs w:val="22"/>
              </w:rPr>
            </w:pPr>
            <w:r w:rsidRPr="003519F9">
              <w:rPr>
                <w:rFonts w:ascii="Lato" w:hAnsi="Lato"/>
                <w:bCs/>
                <w:noProof/>
                <w:sz w:val="22"/>
                <w:szCs w:val="22"/>
              </w:rPr>
              <w:t>Behavioural Indicator: Aligns technical and professional standards to support our strategy.</w:t>
            </w:r>
          </w:p>
          <w:p w14:paraId="10ED3318" w14:textId="77777777" w:rsidR="004B15A5" w:rsidRDefault="004B15A5" w:rsidP="00AF6924">
            <w:pPr>
              <w:rPr>
                <w:rFonts w:ascii="Lato" w:hAnsi="Lato"/>
                <w:bCs/>
                <w:noProof/>
                <w:sz w:val="22"/>
                <w:szCs w:val="22"/>
              </w:rPr>
            </w:pPr>
          </w:p>
          <w:p w14:paraId="76CDE76C"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Engaging</w:t>
            </w:r>
          </w:p>
          <w:p w14:paraId="543413EB"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Working effectively with others</w:t>
            </w:r>
          </w:p>
          <w:p w14:paraId="6CECF79C"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59E40253" w14:textId="77777777" w:rsidR="00B067C3" w:rsidRPr="003519F9" w:rsidRDefault="00B067C3" w:rsidP="00AF6924">
            <w:pPr>
              <w:rPr>
                <w:rFonts w:ascii="Lato" w:hAnsi="Lato"/>
                <w:bCs/>
                <w:noProof/>
                <w:sz w:val="22"/>
                <w:szCs w:val="22"/>
              </w:rPr>
            </w:pPr>
            <w:r w:rsidRPr="003519F9">
              <w:rPr>
                <w:rFonts w:ascii="Lato" w:hAnsi="Lato"/>
                <w:bCs/>
                <w:noProof/>
                <w:sz w:val="22"/>
                <w:szCs w:val="22"/>
              </w:rPr>
              <w:t>Behavioural Indicator: Creates an environment which promotes diversity and does not tolerate discrimination.</w:t>
            </w:r>
          </w:p>
          <w:p w14:paraId="1B39FE4D" w14:textId="77777777" w:rsidR="004B15A5" w:rsidRDefault="004B15A5" w:rsidP="00AF6924">
            <w:pPr>
              <w:rPr>
                <w:rFonts w:ascii="Lato" w:hAnsi="Lato"/>
                <w:bCs/>
                <w:noProof/>
                <w:sz w:val="22"/>
                <w:szCs w:val="22"/>
              </w:rPr>
            </w:pPr>
          </w:p>
          <w:p w14:paraId="1ADD82C7" w14:textId="77777777" w:rsidR="00B067C3" w:rsidRPr="003519F9" w:rsidRDefault="00B067C3" w:rsidP="00AF6924">
            <w:pPr>
              <w:rPr>
                <w:rFonts w:ascii="Lato" w:hAnsi="Lato"/>
                <w:bCs/>
                <w:noProof/>
                <w:sz w:val="22"/>
                <w:szCs w:val="22"/>
              </w:rPr>
            </w:pPr>
            <w:r w:rsidRPr="003519F9">
              <w:rPr>
                <w:rFonts w:ascii="Lato" w:hAnsi="Lato"/>
                <w:bCs/>
                <w:noProof/>
                <w:sz w:val="22"/>
                <w:szCs w:val="22"/>
              </w:rPr>
              <w:t>Cluster: Engaging</w:t>
            </w:r>
          </w:p>
          <w:p w14:paraId="3EEEC59D" w14:textId="77777777" w:rsidR="00B067C3" w:rsidRPr="003519F9" w:rsidRDefault="00B067C3" w:rsidP="00AF6924">
            <w:pPr>
              <w:rPr>
                <w:rFonts w:ascii="Lato" w:hAnsi="Lato"/>
                <w:bCs/>
                <w:noProof/>
                <w:sz w:val="22"/>
                <w:szCs w:val="22"/>
              </w:rPr>
            </w:pPr>
            <w:r w:rsidRPr="003519F9">
              <w:rPr>
                <w:rFonts w:ascii="Lato" w:hAnsi="Lato"/>
                <w:bCs/>
                <w:noProof/>
                <w:sz w:val="22"/>
                <w:szCs w:val="22"/>
              </w:rPr>
              <w:t>Competency: Communicating with impact</w:t>
            </w:r>
          </w:p>
          <w:p w14:paraId="691FF026" w14:textId="77777777" w:rsidR="00B067C3" w:rsidRPr="003519F9" w:rsidRDefault="00B067C3" w:rsidP="00AF6924">
            <w:pPr>
              <w:rPr>
                <w:rFonts w:ascii="Lato" w:hAnsi="Lato"/>
                <w:bCs/>
                <w:noProof/>
                <w:sz w:val="22"/>
                <w:szCs w:val="22"/>
              </w:rPr>
            </w:pPr>
            <w:r w:rsidRPr="003519F9">
              <w:rPr>
                <w:rFonts w:ascii="Lato" w:hAnsi="Lato"/>
                <w:bCs/>
                <w:noProof/>
                <w:sz w:val="22"/>
                <w:szCs w:val="22"/>
              </w:rPr>
              <w:t>Level: Leading Edge</w:t>
            </w:r>
          </w:p>
          <w:p w14:paraId="094CD306" w14:textId="77777777" w:rsidR="002E64D8" w:rsidRPr="002E64D8" w:rsidRDefault="00B067C3" w:rsidP="00033EB6">
            <w:pPr>
              <w:rPr>
                <w:rFonts w:ascii="Lato" w:hAnsi="Lato"/>
                <w:bCs/>
                <w:sz w:val="22"/>
                <w:szCs w:val="22"/>
              </w:rPr>
            </w:pPr>
            <w:r w:rsidRPr="003519F9">
              <w:rPr>
                <w:rFonts w:ascii="Lato" w:hAnsi="Lato"/>
                <w:bCs/>
                <w:noProof/>
                <w:sz w:val="22"/>
                <w:szCs w:val="22"/>
              </w:rPr>
              <w:t>Behavioural Indicator: Projects confidence and authority to influential audiences and makes the most of subject matter even when it’s less familiar.</w:t>
            </w:r>
          </w:p>
        </w:tc>
      </w:tr>
    </w:tbl>
    <w:p w14:paraId="6888C04F"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A9F5E87" w14:textId="77777777" w:rsidTr="6802BB1C">
        <w:tc>
          <w:tcPr>
            <w:tcW w:w="10296" w:type="dxa"/>
            <w:shd w:val="clear" w:color="auto" w:fill="D5E0E1"/>
          </w:tcPr>
          <w:p w14:paraId="61468D16" w14:textId="77777777" w:rsidR="002E64D8" w:rsidRPr="005E601E" w:rsidRDefault="002E64D8" w:rsidP="6802BB1C">
            <w:pPr>
              <w:rPr>
                <w:rFonts w:ascii="Lato" w:eastAsia="Lato" w:hAnsi="Lato" w:cs="Lato"/>
                <w:b/>
                <w:bCs/>
                <w:sz w:val="22"/>
                <w:szCs w:val="22"/>
              </w:rPr>
            </w:pPr>
            <w:r w:rsidRPr="6802BB1C">
              <w:rPr>
                <w:rFonts w:ascii="Lato" w:eastAsia="Lato" w:hAnsi="Lato" w:cs="Lato"/>
                <w:b/>
                <w:bCs/>
                <w:sz w:val="22"/>
                <w:szCs w:val="22"/>
              </w:rPr>
              <w:t>Experience and Skills</w:t>
            </w:r>
          </w:p>
        </w:tc>
      </w:tr>
      <w:tr w:rsidR="002E64D8" w:rsidRPr="005E601E" w14:paraId="72DA3256" w14:textId="77777777" w:rsidTr="6802BB1C">
        <w:trPr>
          <w:trHeight w:val="854"/>
        </w:trPr>
        <w:tc>
          <w:tcPr>
            <w:tcW w:w="10296" w:type="dxa"/>
          </w:tcPr>
          <w:p w14:paraId="05BE3D07" w14:textId="16ED0657" w:rsidR="00B067C3" w:rsidRDefault="002E64D8" w:rsidP="6802BB1C">
            <w:pPr>
              <w:rPr>
                <w:rFonts w:ascii="Lato" w:eastAsia="Lato" w:hAnsi="Lato" w:cs="Lato"/>
                <w:b/>
                <w:bCs/>
                <w:noProof/>
                <w:sz w:val="22"/>
                <w:szCs w:val="22"/>
                <w:highlight w:val="yellow"/>
              </w:rPr>
            </w:pPr>
            <w:r w:rsidRPr="6802BB1C">
              <w:rPr>
                <w:rFonts w:ascii="Lato" w:eastAsia="Lato" w:hAnsi="Lato" w:cs="Lato"/>
                <w:b/>
                <w:bCs/>
                <w:sz w:val="22"/>
                <w:szCs w:val="22"/>
              </w:rPr>
              <w:t>Essential</w:t>
            </w:r>
          </w:p>
          <w:p w14:paraId="6E37EFFC" w14:textId="77777777" w:rsidR="004B15A5" w:rsidRDefault="004B15A5" w:rsidP="6802BB1C">
            <w:pPr>
              <w:rPr>
                <w:rFonts w:ascii="Lato" w:eastAsia="Lato" w:hAnsi="Lato" w:cs="Lato"/>
                <w:b/>
                <w:bCs/>
                <w:noProof/>
                <w:sz w:val="22"/>
                <w:szCs w:val="22"/>
              </w:rPr>
            </w:pPr>
          </w:p>
          <w:p w14:paraId="72FE8A75" w14:textId="77777777" w:rsidR="004B15A5" w:rsidRPr="004B15A5" w:rsidRDefault="004B15A5" w:rsidP="6802BB1C">
            <w:pPr>
              <w:rPr>
                <w:rFonts w:ascii="Lato" w:eastAsia="Lato" w:hAnsi="Lato" w:cs="Lato"/>
                <w:b/>
                <w:bCs/>
                <w:noProof/>
                <w:sz w:val="22"/>
                <w:szCs w:val="22"/>
              </w:rPr>
            </w:pPr>
            <w:r w:rsidRPr="6802BB1C">
              <w:rPr>
                <w:rFonts w:ascii="Lato" w:eastAsia="Lato" w:hAnsi="Lato" w:cs="Lato"/>
                <w:b/>
                <w:bCs/>
                <w:noProof/>
                <w:sz w:val="22"/>
                <w:szCs w:val="22"/>
              </w:rPr>
              <w:t>Experience</w:t>
            </w:r>
          </w:p>
          <w:p w14:paraId="7A4CE9D8" w14:textId="2A2DA4B9"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 xml:space="preserve">Professional Development Leadership: Substantial experience in leading professional development initiatives within the humanitarian or development sector, showcasing proficiency in </w:t>
            </w:r>
            <w:r w:rsidRPr="6802BB1C">
              <w:rPr>
                <w:rFonts w:ascii="Lato" w:eastAsia="Lato" w:hAnsi="Lato" w:cs="Lato"/>
                <w:noProof/>
                <w:sz w:val="22"/>
                <w:szCs w:val="22"/>
              </w:rPr>
              <w:lastRenderedPageBreak/>
              <w:t>designing, implementing, and evaluating learning programs.</w:t>
            </w:r>
          </w:p>
          <w:p w14:paraId="6EF79982" w14:textId="2B9D3C4B"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Child Rights-Based Programming: Proven track record in child rights-based programming approaches and program quality design, ensuring the protection and promotion of children’s rights.</w:t>
            </w:r>
          </w:p>
          <w:p w14:paraId="2C04189A" w14:textId="53EE214B"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Policy, Advocacy, and Campaigns: Extensive experience and deep understanding of policy, advocacy, and campaigns to drive impact at scale, influencing public policies and societal change.</w:t>
            </w:r>
          </w:p>
          <w:p w14:paraId="090703F9" w14:textId="17C75DF5"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Technical Standard Setting and Policy Development: Considerable experience in setting technical standards and developing policies across multiple regions or countries, focusing on best practices in advocacy, campaigns, and program policy implementation.</w:t>
            </w:r>
          </w:p>
          <w:p w14:paraId="336AE9D6" w14:textId="095DDB64"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Strategic Workforce Planning and Talent Management: Experience in strategic workforce planning, talent management, and leadership development, particularly within an international context, aligning human resources with organizational goals.</w:t>
            </w:r>
          </w:p>
          <w:p w14:paraId="7B678ED0" w14:textId="7497E988"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Organizational Change and Technical Excellence: Extensive experience in driving organizational change and fostering technical excellence, emphasizing project and change management skills to strengthen organizational capabilities.</w:t>
            </w:r>
          </w:p>
          <w:p w14:paraId="3CD41BD8" w14:textId="034C5798" w:rsidR="004B15A5" w:rsidRDefault="082EA3DE" w:rsidP="6802BB1C">
            <w:pPr>
              <w:pStyle w:val="ListParagraph"/>
              <w:numPr>
                <w:ilvl w:val="0"/>
                <w:numId w:val="2"/>
              </w:numPr>
              <w:tabs>
                <w:tab w:val="left" w:pos="0"/>
                <w:tab w:val="left" w:pos="720"/>
              </w:tabs>
              <w:spacing w:after="160" w:line="276" w:lineRule="auto"/>
              <w:rPr>
                <w:rFonts w:ascii="Lato" w:eastAsia="Lato" w:hAnsi="Lato" w:cs="Lato"/>
                <w:noProof/>
                <w:sz w:val="22"/>
                <w:szCs w:val="22"/>
              </w:rPr>
            </w:pPr>
            <w:r w:rsidRPr="6802BB1C">
              <w:rPr>
                <w:rFonts w:ascii="Lato" w:eastAsia="Lato" w:hAnsi="Lato" w:cs="Lato"/>
                <w:noProof/>
                <w:sz w:val="22"/>
                <w:szCs w:val="22"/>
              </w:rPr>
              <w:t>Diversity, Equity, and Inclusion (DEI): Experience in promoting DEI, ensuring equitable opportunities and a supportive work environment for all employees, and implementing initiatives that foster an inclusive culture.</w:t>
            </w:r>
          </w:p>
          <w:p w14:paraId="3210670D" w14:textId="0E72B856" w:rsidR="004B15A5" w:rsidRDefault="004B15A5" w:rsidP="6802BB1C">
            <w:pPr>
              <w:rPr>
                <w:rFonts w:ascii="Lato" w:eastAsia="Lato" w:hAnsi="Lato" w:cs="Lato"/>
                <w:noProof/>
                <w:sz w:val="22"/>
                <w:szCs w:val="22"/>
              </w:rPr>
            </w:pPr>
          </w:p>
          <w:p w14:paraId="6440B1CB" w14:textId="53C3D0CF" w:rsidR="004B15A5" w:rsidRDefault="004B15A5" w:rsidP="6802BB1C">
            <w:pPr>
              <w:rPr>
                <w:rFonts w:ascii="Lato" w:eastAsia="Lato" w:hAnsi="Lato" w:cs="Lato"/>
                <w:b/>
                <w:bCs/>
                <w:noProof/>
                <w:sz w:val="22"/>
                <w:szCs w:val="22"/>
              </w:rPr>
            </w:pPr>
            <w:r w:rsidRPr="6802BB1C">
              <w:rPr>
                <w:rFonts w:ascii="Lato" w:eastAsia="Lato" w:hAnsi="Lato" w:cs="Lato"/>
                <w:b/>
                <w:bCs/>
                <w:noProof/>
                <w:sz w:val="22"/>
                <w:szCs w:val="22"/>
              </w:rPr>
              <w:t>Skills:</w:t>
            </w:r>
          </w:p>
          <w:p w14:paraId="58852B8E" w14:textId="32AF58AC" w:rsidR="004B15A5" w:rsidRDefault="004B15A5" w:rsidP="6802BB1C">
            <w:pPr>
              <w:numPr>
                <w:ilvl w:val="0"/>
                <w:numId w:val="2"/>
              </w:numPr>
              <w:rPr>
                <w:rFonts w:ascii="Lato" w:eastAsia="Lato" w:hAnsi="Lato" w:cs="Lato"/>
                <w:noProof/>
                <w:sz w:val="22"/>
                <w:szCs w:val="22"/>
              </w:rPr>
            </w:pPr>
            <w:r w:rsidRPr="6802BB1C">
              <w:rPr>
                <w:rFonts w:ascii="Lato" w:eastAsia="Lato" w:hAnsi="Lato" w:cs="Lato"/>
                <w:noProof/>
                <w:sz w:val="22"/>
                <w:szCs w:val="22"/>
              </w:rPr>
              <w:t xml:space="preserve">Leadership and Management: Demonstrated capability in leading diverse and geographically dispersed teams, managing budgets, and fostering a culture of accountability and continuous improvement. </w:t>
            </w:r>
          </w:p>
          <w:p w14:paraId="6DD0C61A" w14:textId="544FD8D2" w:rsidR="004B15A5" w:rsidRDefault="004B15A5" w:rsidP="6802BB1C">
            <w:pPr>
              <w:numPr>
                <w:ilvl w:val="0"/>
                <w:numId w:val="2"/>
              </w:numPr>
              <w:rPr>
                <w:rFonts w:ascii="Lato" w:eastAsia="Lato" w:hAnsi="Lato" w:cs="Lato"/>
                <w:noProof/>
                <w:sz w:val="22"/>
                <w:szCs w:val="22"/>
              </w:rPr>
            </w:pPr>
            <w:r w:rsidRPr="6802BB1C">
              <w:rPr>
                <w:rFonts w:ascii="Lato" w:eastAsia="Lato" w:hAnsi="Lato" w:cs="Lato"/>
                <w:noProof/>
                <w:sz w:val="22"/>
                <w:szCs w:val="22"/>
              </w:rPr>
              <w:t>Interpersonal Skills: Ability to build and maintain effective relationships, demonstrating approachability, active listening, and valuing diverse perspec</w:t>
            </w:r>
            <w:r w:rsidR="5D16B1D4" w:rsidRPr="6802BB1C">
              <w:rPr>
                <w:rFonts w:ascii="Lato" w:eastAsia="Lato" w:hAnsi="Lato" w:cs="Lato"/>
                <w:noProof/>
                <w:sz w:val="22"/>
                <w:szCs w:val="22"/>
              </w:rPr>
              <w:t>ectives.</w:t>
            </w:r>
          </w:p>
          <w:p w14:paraId="7D4CD478" w14:textId="77777777" w:rsidR="009618A9" w:rsidRPr="004B15A5" w:rsidRDefault="004B15A5" w:rsidP="6802BB1C">
            <w:pPr>
              <w:numPr>
                <w:ilvl w:val="0"/>
                <w:numId w:val="2"/>
              </w:numPr>
              <w:rPr>
                <w:rFonts w:ascii="Lato" w:eastAsia="Lato" w:hAnsi="Lato" w:cs="Lato"/>
                <w:noProof/>
                <w:sz w:val="22"/>
                <w:szCs w:val="22"/>
              </w:rPr>
            </w:pPr>
            <w:r w:rsidRPr="6802BB1C">
              <w:rPr>
                <w:rFonts w:ascii="Lato" w:eastAsia="Lato" w:hAnsi="Lato" w:cs="Lato"/>
                <w:noProof/>
                <w:sz w:val="22"/>
                <w:szCs w:val="22"/>
              </w:rPr>
              <w:t>Cultural Competency: Awareness and respect for different cultures, fostering an inclusive environment where diversity is recognised and valued.</w:t>
            </w:r>
          </w:p>
          <w:p w14:paraId="077FF7B5" w14:textId="77777777" w:rsidR="002E64D8" w:rsidRDefault="002E64D8" w:rsidP="6802BB1C">
            <w:pPr>
              <w:rPr>
                <w:rFonts w:ascii="Lato" w:eastAsia="Lato" w:hAnsi="Lato" w:cs="Lato"/>
                <w:sz w:val="22"/>
                <w:szCs w:val="22"/>
              </w:rPr>
            </w:pPr>
          </w:p>
          <w:p w14:paraId="534E94D3" w14:textId="77777777" w:rsidR="002E64D8" w:rsidRDefault="002E64D8" w:rsidP="6802BB1C">
            <w:pPr>
              <w:rPr>
                <w:rFonts w:ascii="Lato" w:eastAsia="Lato" w:hAnsi="Lato" w:cs="Lato"/>
                <w:b/>
                <w:bCs/>
                <w:sz w:val="22"/>
                <w:szCs w:val="22"/>
              </w:rPr>
            </w:pPr>
            <w:r w:rsidRPr="6802BB1C">
              <w:rPr>
                <w:rFonts w:ascii="Lato" w:eastAsia="Lato" w:hAnsi="Lato" w:cs="Lato"/>
                <w:b/>
                <w:bCs/>
                <w:sz w:val="22"/>
                <w:szCs w:val="22"/>
              </w:rPr>
              <w:t>Desirable</w:t>
            </w:r>
          </w:p>
          <w:p w14:paraId="08B033BA" w14:textId="77777777" w:rsidR="004B15A5" w:rsidRPr="004B15A5" w:rsidRDefault="004B15A5" w:rsidP="6802BB1C">
            <w:pPr>
              <w:rPr>
                <w:rFonts w:ascii="Lato" w:eastAsia="Lato" w:hAnsi="Lato" w:cs="Lato"/>
                <w:sz w:val="22"/>
                <w:szCs w:val="22"/>
              </w:rPr>
            </w:pPr>
            <w:r w:rsidRPr="6802BB1C">
              <w:rPr>
                <w:rFonts w:ascii="Lato" w:eastAsia="Lato" w:hAnsi="Lato" w:cs="Lato"/>
                <w:sz w:val="22"/>
                <w:szCs w:val="22"/>
              </w:rPr>
              <w:t>N/A</w:t>
            </w:r>
          </w:p>
          <w:p w14:paraId="6ABD2E93" w14:textId="77777777" w:rsidR="002E64D8" w:rsidRDefault="002E64D8" w:rsidP="6802BB1C">
            <w:pPr>
              <w:rPr>
                <w:rFonts w:ascii="Lato" w:eastAsia="Lato" w:hAnsi="Lato" w:cs="Lato"/>
                <w:sz w:val="22"/>
                <w:szCs w:val="22"/>
              </w:rPr>
            </w:pPr>
          </w:p>
          <w:p w14:paraId="76B0AC98" w14:textId="77777777" w:rsidR="002E64D8" w:rsidRPr="005E601E" w:rsidRDefault="002E64D8" w:rsidP="6802BB1C">
            <w:pPr>
              <w:rPr>
                <w:rFonts w:ascii="Lato" w:eastAsia="Lato" w:hAnsi="Lato" w:cs="Lato"/>
                <w:sz w:val="22"/>
                <w:szCs w:val="22"/>
              </w:rPr>
            </w:pPr>
          </w:p>
        </w:tc>
      </w:tr>
    </w:tbl>
    <w:p w14:paraId="37C9F578"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972C83E" w14:textId="77777777" w:rsidTr="6802BB1C">
        <w:tc>
          <w:tcPr>
            <w:tcW w:w="10296" w:type="dxa"/>
            <w:shd w:val="clear" w:color="auto" w:fill="D5E0E1"/>
          </w:tcPr>
          <w:p w14:paraId="59DAC98B"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6FDEDD8" w14:textId="77777777" w:rsidTr="6802BB1C">
        <w:trPr>
          <w:trHeight w:val="854"/>
        </w:trPr>
        <w:tc>
          <w:tcPr>
            <w:tcW w:w="10296" w:type="dxa"/>
          </w:tcPr>
          <w:p w14:paraId="0378B7D6"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493140E4" w14:textId="77777777" w:rsidR="002E64D8" w:rsidRDefault="002E64D8" w:rsidP="002E64D8">
            <w:pPr>
              <w:rPr>
                <w:rFonts w:ascii="Lato" w:hAnsi="Lato"/>
                <w:b/>
                <w:sz w:val="22"/>
                <w:szCs w:val="22"/>
              </w:rPr>
            </w:pPr>
          </w:p>
          <w:p w14:paraId="019354DB" w14:textId="77777777" w:rsidR="004B15A5" w:rsidRDefault="004B15A5" w:rsidP="002E64D8">
            <w:pPr>
              <w:rPr>
                <w:rFonts w:ascii="Lato" w:hAnsi="Lato"/>
                <w:b/>
                <w:sz w:val="22"/>
                <w:szCs w:val="22"/>
              </w:rPr>
            </w:pPr>
            <w:r>
              <w:rPr>
                <w:rFonts w:ascii="Lato" w:hAnsi="Lato"/>
                <w:b/>
                <w:sz w:val="22"/>
                <w:szCs w:val="22"/>
              </w:rPr>
              <w:t xml:space="preserve">Education: </w:t>
            </w:r>
          </w:p>
          <w:p w14:paraId="0C2B09DD" w14:textId="77777777" w:rsidR="004B15A5" w:rsidRDefault="00B067C3" w:rsidP="00AF6924">
            <w:pPr>
              <w:numPr>
                <w:ilvl w:val="0"/>
                <w:numId w:val="14"/>
              </w:numPr>
              <w:rPr>
                <w:rFonts w:ascii="Lato" w:hAnsi="Lato"/>
                <w:noProof/>
                <w:sz w:val="22"/>
                <w:szCs w:val="22"/>
              </w:rPr>
            </w:pPr>
            <w:r w:rsidRPr="003519F9">
              <w:rPr>
                <w:rFonts w:ascii="Lato" w:hAnsi="Lato"/>
                <w:noProof/>
                <w:sz w:val="22"/>
                <w:szCs w:val="22"/>
              </w:rPr>
              <w:t>Master’s Degree in Education, Social Sciences, International Development, or a relevant field. Alternatively, a bachelor's degree combined with equivalent professional experience.</w:t>
            </w:r>
          </w:p>
          <w:p w14:paraId="6A260E85" w14:textId="77777777" w:rsidR="004B15A5" w:rsidRDefault="00B067C3" w:rsidP="00AF6924">
            <w:pPr>
              <w:numPr>
                <w:ilvl w:val="0"/>
                <w:numId w:val="14"/>
              </w:numPr>
              <w:rPr>
                <w:rFonts w:ascii="Lato" w:hAnsi="Lato"/>
                <w:noProof/>
                <w:sz w:val="22"/>
                <w:szCs w:val="22"/>
              </w:rPr>
            </w:pPr>
            <w:r w:rsidRPr="004B15A5">
              <w:rPr>
                <w:rFonts w:ascii="Lato" w:hAnsi="Lato"/>
                <w:noProof/>
                <w:sz w:val="22"/>
                <w:szCs w:val="22"/>
              </w:rPr>
              <w:t>Professional certifications in Learning and Development, Human Resources, or relevant areas are advantageous.</w:t>
            </w:r>
          </w:p>
          <w:p w14:paraId="5107E23D" w14:textId="77777777" w:rsidR="00B067C3" w:rsidRDefault="00B067C3" w:rsidP="00AF6924">
            <w:pPr>
              <w:numPr>
                <w:ilvl w:val="0"/>
                <w:numId w:val="14"/>
              </w:numPr>
              <w:rPr>
                <w:rFonts w:ascii="Lato" w:hAnsi="Lato"/>
                <w:noProof/>
                <w:sz w:val="22"/>
                <w:szCs w:val="22"/>
              </w:rPr>
            </w:pPr>
            <w:r w:rsidRPr="004B15A5">
              <w:rPr>
                <w:rFonts w:ascii="Lato" w:hAnsi="Lato"/>
                <w:noProof/>
                <w:sz w:val="22"/>
                <w:szCs w:val="22"/>
              </w:rPr>
              <w:t>Evidence of Continual Professional Development in relevant areas such as technical excellence, child rights based approach, change management, and leadership is highly desirable.</w:t>
            </w:r>
          </w:p>
          <w:p w14:paraId="367F1F1E" w14:textId="77777777" w:rsidR="004B15A5" w:rsidRPr="003519F9" w:rsidRDefault="004B15A5" w:rsidP="00AF6924">
            <w:pPr>
              <w:rPr>
                <w:rFonts w:ascii="Lato" w:hAnsi="Lato"/>
                <w:noProof/>
                <w:sz w:val="22"/>
                <w:szCs w:val="22"/>
              </w:rPr>
            </w:pPr>
          </w:p>
          <w:p w14:paraId="45D99D63" w14:textId="77777777" w:rsidR="00B067C3" w:rsidRPr="004B15A5" w:rsidRDefault="00B067C3" w:rsidP="00AF6924">
            <w:pPr>
              <w:rPr>
                <w:rFonts w:ascii="Lato" w:hAnsi="Lato"/>
                <w:b/>
                <w:bCs/>
                <w:noProof/>
                <w:sz w:val="22"/>
                <w:szCs w:val="22"/>
              </w:rPr>
            </w:pPr>
            <w:r w:rsidRPr="004B15A5">
              <w:rPr>
                <w:rFonts w:ascii="Lato" w:hAnsi="Lato"/>
                <w:b/>
                <w:bCs/>
                <w:noProof/>
                <w:sz w:val="22"/>
                <w:szCs w:val="22"/>
              </w:rPr>
              <w:t>Additional Information</w:t>
            </w:r>
          </w:p>
          <w:p w14:paraId="4877B07D" w14:textId="77777777" w:rsidR="004B15A5" w:rsidRDefault="00B067C3" w:rsidP="00AF6924">
            <w:pPr>
              <w:numPr>
                <w:ilvl w:val="0"/>
                <w:numId w:val="17"/>
              </w:numPr>
              <w:rPr>
                <w:rFonts w:ascii="Lato" w:hAnsi="Lato"/>
                <w:noProof/>
                <w:sz w:val="22"/>
                <w:szCs w:val="22"/>
              </w:rPr>
            </w:pPr>
            <w:r w:rsidRPr="003519F9">
              <w:rPr>
                <w:rFonts w:ascii="Lato" w:hAnsi="Lato"/>
                <w:noProof/>
                <w:sz w:val="22"/>
                <w:szCs w:val="22"/>
              </w:rPr>
              <w:t>Commitment to Save the Children’s Values: Emphasis on accountability, ambition, collaboration, creativity, and integrity in all aspects of work.</w:t>
            </w:r>
          </w:p>
          <w:p w14:paraId="32BA76DD" w14:textId="77777777" w:rsidR="004B15A5" w:rsidRDefault="00B067C3" w:rsidP="00AF6924">
            <w:pPr>
              <w:numPr>
                <w:ilvl w:val="0"/>
                <w:numId w:val="17"/>
              </w:numPr>
              <w:rPr>
                <w:rFonts w:ascii="Lato" w:hAnsi="Lato"/>
                <w:noProof/>
                <w:sz w:val="22"/>
                <w:szCs w:val="22"/>
              </w:rPr>
            </w:pPr>
            <w:r w:rsidRPr="004B15A5">
              <w:rPr>
                <w:rFonts w:ascii="Lato" w:hAnsi="Lato"/>
                <w:noProof/>
                <w:sz w:val="22"/>
                <w:szCs w:val="22"/>
              </w:rPr>
              <w:t>Flexibility to Travel: Ability to undertake regular international travel as required, adhering to organisational policies and safeguarding practices.</w:t>
            </w:r>
          </w:p>
          <w:p w14:paraId="366ED2C1" w14:textId="77777777" w:rsidR="00B067C3" w:rsidRPr="004B15A5" w:rsidRDefault="00B067C3" w:rsidP="00AF6924">
            <w:pPr>
              <w:numPr>
                <w:ilvl w:val="0"/>
                <w:numId w:val="17"/>
              </w:numPr>
              <w:rPr>
                <w:rFonts w:ascii="Lato" w:hAnsi="Lato"/>
                <w:noProof/>
                <w:sz w:val="22"/>
                <w:szCs w:val="22"/>
              </w:rPr>
            </w:pPr>
            <w:r w:rsidRPr="004B15A5">
              <w:rPr>
                <w:rFonts w:ascii="Lato" w:hAnsi="Lato"/>
                <w:noProof/>
                <w:sz w:val="22"/>
                <w:szCs w:val="22"/>
              </w:rPr>
              <w:t xml:space="preserve">Language Proficiency: Fluency in English; additional languages relevant to SCI’s operational </w:t>
            </w:r>
            <w:r w:rsidRPr="004B15A5">
              <w:rPr>
                <w:rFonts w:ascii="Lato" w:hAnsi="Lato"/>
                <w:noProof/>
                <w:sz w:val="22"/>
                <w:szCs w:val="22"/>
              </w:rPr>
              <w:lastRenderedPageBreak/>
              <w:t>regions are a plus.</w:t>
            </w:r>
          </w:p>
          <w:p w14:paraId="5498011E" w14:textId="77777777" w:rsidR="002E64D8" w:rsidRDefault="002E64D8" w:rsidP="002E64D8">
            <w:pPr>
              <w:rPr>
                <w:rFonts w:ascii="Lato" w:hAnsi="Lato"/>
                <w:b/>
                <w:sz w:val="22"/>
                <w:szCs w:val="22"/>
              </w:rPr>
            </w:pPr>
          </w:p>
          <w:p w14:paraId="666FAEEB"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5965119" w14:textId="77777777" w:rsidR="002E64D8" w:rsidRDefault="004B15A5" w:rsidP="6802BB1C">
            <w:pPr>
              <w:rPr>
                <w:rFonts w:ascii="Lato" w:hAnsi="Lato"/>
                <w:sz w:val="22"/>
                <w:szCs w:val="22"/>
              </w:rPr>
            </w:pPr>
            <w:r w:rsidRPr="6802BB1C">
              <w:rPr>
                <w:rFonts w:ascii="Lato" w:hAnsi="Lato"/>
                <w:sz w:val="22"/>
                <w:szCs w:val="22"/>
              </w:rPr>
              <w:t>N/A</w:t>
            </w:r>
          </w:p>
          <w:p w14:paraId="52B22338" w14:textId="77777777" w:rsidR="002E64D8" w:rsidRPr="005E601E" w:rsidRDefault="002E64D8" w:rsidP="00033EB6">
            <w:pPr>
              <w:rPr>
                <w:rFonts w:ascii="Lato" w:hAnsi="Lato"/>
                <w:bCs/>
                <w:iCs/>
                <w:sz w:val="22"/>
                <w:szCs w:val="22"/>
              </w:rPr>
            </w:pPr>
          </w:p>
        </w:tc>
      </w:tr>
    </w:tbl>
    <w:p w14:paraId="269A2A6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373609A6" w14:textId="77777777" w:rsidTr="00CB3933">
        <w:tc>
          <w:tcPr>
            <w:tcW w:w="10308" w:type="dxa"/>
            <w:tcBorders>
              <w:bottom w:val="single" w:sz="4" w:space="0" w:color="000000"/>
            </w:tcBorders>
            <w:shd w:val="clear" w:color="auto" w:fill="D5E0E1"/>
          </w:tcPr>
          <w:p w14:paraId="035A387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4568A6F2" w14:textId="77777777" w:rsidTr="00072577">
        <w:tc>
          <w:tcPr>
            <w:tcW w:w="10308" w:type="dxa"/>
            <w:tcBorders>
              <w:bottom w:val="single" w:sz="4" w:space="0" w:color="000000"/>
            </w:tcBorders>
            <w:shd w:val="clear" w:color="auto" w:fill="auto"/>
          </w:tcPr>
          <w:p w14:paraId="2F1CF0E9"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0452D8B0" w14:textId="77777777" w:rsidR="00BB1C79" w:rsidRDefault="00BB1C79" w:rsidP="00072577">
            <w:pPr>
              <w:tabs>
                <w:tab w:val="left" w:pos="984"/>
              </w:tabs>
              <w:rPr>
                <w:rFonts w:ascii="Lato" w:hAnsi="Lato"/>
                <w:sz w:val="22"/>
                <w:szCs w:val="22"/>
              </w:rPr>
            </w:pPr>
          </w:p>
          <w:p w14:paraId="794F9AB2" w14:textId="77777777" w:rsidR="00BB1C79" w:rsidRPr="005E601E" w:rsidRDefault="00B067C3"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7DEE98CB" w14:textId="77777777" w:rsidR="00072577" w:rsidRPr="001217A8" w:rsidRDefault="00072577" w:rsidP="00072577">
            <w:pPr>
              <w:rPr>
                <w:rFonts w:ascii="Lato" w:hAnsi="Lato" w:cs="Mangal"/>
                <w:b/>
                <w:sz w:val="22"/>
                <w:szCs w:val="22"/>
              </w:rPr>
            </w:pPr>
          </w:p>
        </w:tc>
      </w:tr>
    </w:tbl>
    <w:p w14:paraId="5AD96DDA"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68CA3958" w14:textId="77777777" w:rsidTr="00CB3933">
        <w:tc>
          <w:tcPr>
            <w:tcW w:w="10308" w:type="dxa"/>
            <w:tcBorders>
              <w:bottom w:val="single" w:sz="4" w:space="0" w:color="000000"/>
            </w:tcBorders>
            <w:shd w:val="clear" w:color="auto" w:fill="D5E0E1"/>
          </w:tcPr>
          <w:p w14:paraId="6258192A"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FF6475E" w14:textId="77777777" w:rsidTr="000F4917">
        <w:tc>
          <w:tcPr>
            <w:tcW w:w="10308" w:type="dxa"/>
            <w:tcBorders>
              <w:bottom w:val="single" w:sz="4" w:space="0" w:color="000000"/>
            </w:tcBorders>
            <w:shd w:val="clear" w:color="auto" w:fill="auto"/>
          </w:tcPr>
          <w:p w14:paraId="3106E40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0677C98"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D23C40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025629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5433CD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5F815712"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61CEEB1" w14:textId="77777777" w:rsidR="00072577" w:rsidRPr="005E601E" w:rsidRDefault="00072577" w:rsidP="008A1691">
      <w:pPr>
        <w:rPr>
          <w:rFonts w:ascii="Lato" w:hAnsi="Lato"/>
          <w:b/>
          <w:sz w:val="22"/>
          <w:szCs w:val="22"/>
        </w:rPr>
      </w:pPr>
    </w:p>
    <w:p w14:paraId="3EFDB46C"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53502057" w14:textId="77777777" w:rsidTr="0B129B62">
        <w:tc>
          <w:tcPr>
            <w:tcW w:w="10308" w:type="dxa"/>
            <w:gridSpan w:val="5"/>
            <w:tcBorders>
              <w:bottom w:val="single" w:sz="4" w:space="0" w:color="000000" w:themeColor="text1"/>
            </w:tcBorders>
            <w:shd w:val="clear" w:color="auto" w:fill="D5E0E1"/>
          </w:tcPr>
          <w:p w14:paraId="25FF6EF3"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3394E00B" w14:textId="77777777" w:rsidTr="0B129B62">
        <w:tc>
          <w:tcPr>
            <w:tcW w:w="2061" w:type="dxa"/>
            <w:tcBorders>
              <w:bottom w:val="single" w:sz="4" w:space="0" w:color="000000" w:themeColor="text1"/>
            </w:tcBorders>
            <w:shd w:val="clear" w:color="auto" w:fill="D5E0E1"/>
          </w:tcPr>
          <w:p w14:paraId="43F58F0F"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3E7E0A0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04540870"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26D46C4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3E49E2F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1387548" w14:textId="77777777" w:rsidTr="0B129B62">
        <w:tc>
          <w:tcPr>
            <w:tcW w:w="2061" w:type="dxa"/>
            <w:shd w:val="clear" w:color="auto" w:fill="auto"/>
          </w:tcPr>
          <w:p w14:paraId="7163D651" w14:textId="77777777" w:rsidR="000F4917" w:rsidRPr="005E601E" w:rsidRDefault="000F4917" w:rsidP="000F4917">
            <w:pPr>
              <w:rPr>
                <w:rFonts w:ascii="Lato" w:hAnsi="Lato" w:cs="Mangal"/>
                <w:bCs/>
                <w:sz w:val="22"/>
                <w:szCs w:val="22"/>
              </w:rPr>
            </w:pPr>
          </w:p>
        </w:tc>
        <w:tc>
          <w:tcPr>
            <w:tcW w:w="2062" w:type="dxa"/>
            <w:shd w:val="clear" w:color="auto" w:fill="auto"/>
          </w:tcPr>
          <w:p w14:paraId="1E21D6D7" w14:textId="77777777" w:rsidR="000F4917" w:rsidRPr="005E601E" w:rsidRDefault="000F4917" w:rsidP="000F4917">
            <w:pPr>
              <w:rPr>
                <w:rFonts w:ascii="Lato" w:hAnsi="Lato" w:cs="Mangal"/>
                <w:bCs/>
                <w:sz w:val="22"/>
                <w:szCs w:val="22"/>
              </w:rPr>
            </w:pPr>
          </w:p>
        </w:tc>
        <w:tc>
          <w:tcPr>
            <w:tcW w:w="2061" w:type="dxa"/>
            <w:shd w:val="clear" w:color="auto" w:fill="auto"/>
          </w:tcPr>
          <w:p w14:paraId="133BC1DC" w14:textId="10223C28" w:rsidR="000F4917" w:rsidRPr="005E601E" w:rsidRDefault="000F4917" w:rsidP="0B129B62">
            <w:pPr>
              <w:rPr>
                <w:rFonts w:ascii="Lato" w:hAnsi="Lato" w:cs="Mangal"/>
                <w:sz w:val="22"/>
                <w:szCs w:val="22"/>
              </w:rPr>
            </w:pPr>
          </w:p>
        </w:tc>
        <w:tc>
          <w:tcPr>
            <w:tcW w:w="2062" w:type="dxa"/>
            <w:shd w:val="clear" w:color="auto" w:fill="auto"/>
          </w:tcPr>
          <w:p w14:paraId="7688E0E5" w14:textId="77777777" w:rsidR="000F4917" w:rsidRPr="005E601E" w:rsidRDefault="000F4917" w:rsidP="000F4917">
            <w:pPr>
              <w:rPr>
                <w:rFonts w:ascii="Lato" w:hAnsi="Lato" w:cs="Mangal"/>
                <w:bCs/>
                <w:sz w:val="22"/>
                <w:szCs w:val="22"/>
              </w:rPr>
            </w:pPr>
          </w:p>
        </w:tc>
        <w:tc>
          <w:tcPr>
            <w:tcW w:w="2062" w:type="dxa"/>
            <w:shd w:val="clear" w:color="auto" w:fill="auto"/>
          </w:tcPr>
          <w:p w14:paraId="7C28B86F" w14:textId="77777777" w:rsidR="000F4917" w:rsidRPr="005E601E" w:rsidRDefault="000F4917" w:rsidP="000F4917">
            <w:pPr>
              <w:rPr>
                <w:rFonts w:ascii="Lato" w:hAnsi="Lato" w:cs="Mangal"/>
                <w:bCs/>
                <w:sz w:val="22"/>
                <w:szCs w:val="22"/>
              </w:rPr>
            </w:pPr>
          </w:p>
        </w:tc>
      </w:tr>
    </w:tbl>
    <w:p w14:paraId="2DF827D8" w14:textId="77777777" w:rsidR="00A719CD" w:rsidRPr="005E601E" w:rsidRDefault="00A719CD" w:rsidP="00412E0E">
      <w:pPr>
        <w:rPr>
          <w:rFonts w:ascii="Lato" w:hAnsi="Lato"/>
          <w:sz w:val="22"/>
          <w:szCs w:val="22"/>
        </w:rPr>
      </w:pPr>
    </w:p>
    <w:p w14:paraId="241D5765"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AFE21" w14:textId="77777777" w:rsidR="00FD240E" w:rsidRDefault="00FD240E" w:rsidP="00CB745D">
      <w:r>
        <w:separator/>
      </w:r>
    </w:p>
  </w:endnote>
  <w:endnote w:type="continuationSeparator" w:id="0">
    <w:p w14:paraId="3980F586" w14:textId="77777777" w:rsidR="00FD240E" w:rsidRDefault="00FD240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51C0"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C05E" w14:textId="77777777" w:rsidR="00FD240E" w:rsidRDefault="00FD240E" w:rsidP="00CB745D">
      <w:r>
        <w:separator/>
      </w:r>
    </w:p>
  </w:footnote>
  <w:footnote w:type="continuationSeparator" w:id="0">
    <w:p w14:paraId="19C3AD2B" w14:textId="77777777" w:rsidR="00FD240E" w:rsidRDefault="00FD240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91D43A"/>
    <w:multiLevelType w:val="hybridMultilevel"/>
    <w:tmpl w:val="C2826D4E"/>
    <w:lvl w:ilvl="0" w:tplc="EC8A09F4">
      <w:start w:val="1"/>
      <w:numFmt w:val="decimal"/>
      <w:lvlText w:val="%1."/>
      <w:lvlJc w:val="left"/>
      <w:pPr>
        <w:ind w:left="720" w:hanging="360"/>
      </w:pPr>
    </w:lvl>
    <w:lvl w:ilvl="1" w:tplc="38A0A994">
      <w:start w:val="1"/>
      <w:numFmt w:val="lowerLetter"/>
      <w:lvlText w:val="%2."/>
      <w:lvlJc w:val="left"/>
      <w:pPr>
        <w:ind w:left="1440" w:hanging="360"/>
      </w:pPr>
    </w:lvl>
    <w:lvl w:ilvl="2" w:tplc="3D6E1BA2">
      <w:start w:val="1"/>
      <w:numFmt w:val="lowerRoman"/>
      <w:lvlText w:val="%3."/>
      <w:lvlJc w:val="right"/>
      <w:pPr>
        <w:ind w:left="2160" w:hanging="180"/>
      </w:pPr>
    </w:lvl>
    <w:lvl w:ilvl="3" w:tplc="76ECCB94">
      <w:start w:val="1"/>
      <w:numFmt w:val="decimal"/>
      <w:lvlText w:val="%4."/>
      <w:lvlJc w:val="left"/>
      <w:pPr>
        <w:ind w:left="2880" w:hanging="360"/>
      </w:pPr>
    </w:lvl>
    <w:lvl w:ilvl="4" w:tplc="9F200C68">
      <w:start w:val="1"/>
      <w:numFmt w:val="lowerLetter"/>
      <w:lvlText w:val="%5."/>
      <w:lvlJc w:val="left"/>
      <w:pPr>
        <w:ind w:left="3600" w:hanging="360"/>
      </w:pPr>
    </w:lvl>
    <w:lvl w:ilvl="5" w:tplc="64DCB0BE">
      <w:start w:val="1"/>
      <w:numFmt w:val="lowerRoman"/>
      <w:lvlText w:val="%6."/>
      <w:lvlJc w:val="right"/>
      <w:pPr>
        <w:ind w:left="4320" w:hanging="180"/>
      </w:pPr>
    </w:lvl>
    <w:lvl w:ilvl="6" w:tplc="1F1E1732">
      <w:start w:val="1"/>
      <w:numFmt w:val="decimal"/>
      <w:lvlText w:val="%7."/>
      <w:lvlJc w:val="left"/>
      <w:pPr>
        <w:ind w:left="5040" w:hanging="360"/>
      </w:pPr>
    </w:lvl>
    <w:lvl w:ilvl="7" w:tplc="1D103A40">
      <w:start w:val="1"/>
      <w:numFmt w:val="lowerLetter"/>
      <w:lvlText w:val="%8."/>
      <w:lvlJc w:val="left"/>
      <w:pPr>
        <w:ind w:left="5760" w:hanging="360"/>
      </w:pPr>
    </w:lvl>
    <w:lvl w:ilvl="8" w:tplc="2DFEDADE">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B11CD"/>
    <w:multiLevelType w:val="hybridMultilevel"/>
    <w:tmpl w:val="4098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26664"/>
    <w:multiLevelType w:val="hybridMultilevel"/>
    <w:tmpl w:val="91FE2AC6"/>
    <w:lvl w:ilvl="0" w:tplc="36C48298">
      <w:start w:val="1"/>
      <w:numFmt w:val="decimal"/>
      <w:lvlText w:val="%1."/>
      <w:lvlJc w:val="left"/>
      <w:pPr>
        <w:ind w:left="720" w:hanging="360"/>
      </w:pPr>
    </w:lvl>
    <w:lvl w:ilvl="1" w:tplc="7BC80996">
      <w:start w:val="1"/>
      <w:numFmt w:val="lowerLetter"/>
      <w:lvlText w:val="%2."/>
      <w:lvlJc w:val="left"/>
      <w:pPr>
        <w:ind w:left="1440" w:hanging="360"/>
      </w:pPr>
    </w:lvl>
    <w:lvl w:ilvl="2" w:tplc="1A6AA39A">
      <w:start w:val="1"/>
      <w:numFmt w:val="lowerRoman"/>
      <w:lvlText w:val="%3."/>
      <w:lvlJc w:val="right"/>
      <w:pPr>
        <w:ind w:left="2160" w:hanging="180"/>
      </w:pPr>
    </w:lvl>
    <w:lvl w:ilvl="3" w:tplc="C8BED6EC">
      <w:start w:val="1"/>
      <w:numFmt w:val="decimal"/>
      <w:lvlText w:val="%4."/>
      <w:lvlJc w:val="left"/>
      <w:pPr>
        <w:ind w:left="2880" w:hanging="360"/>
      </w:pPr>
    </w:lvl>
    <w:lvl w:ilvl="4" w:tplc="C7209AD0">
      <w:start w:val="1"/>
      <w:numFmt w:val="lowerLetter"/>
      <w:lvlText w:val="%5."/>
      <w:lvlJc w:val="left"/>
      <w:pPr>
        <w:ind w:left="3600" w:hanging="360"/>
      </w:pPr>
    </w:lvl>
    <w:lvl w:ilvl="5" w:tplc="C5E0B618">
      <w:start w:val="1"/>
      <w:numFmt w:val="lowerRoman"/>
      <w:lvlText w:val="%6."/>
      <w:lvlJc w:val="right"/>
      <w:pPr>
        <w:ind w:left="4320" w:hanging="180"/>
      </w:pPr>
    </w:lvl>
    <w:lvl w:ilvl="6" w:tplc="5108233C">
      <w:start w:val="1"/>
      <w:numFmt w:val="decimal"/>
      <w:lvlText w:val="%7."/>
      <w:lvlJc w:val="left"/>
      <w:pPr>
        <w:ind w:left="5040" w:hanging="360"/>
      </w:pPr>
    </w:lvl>
    <w:lvl w:ilvl="7" w:tplc="0A409166">
      <w:start w:val="1"/>
      <w:numFmt w:val="lowerLetter"/>
      <w:lvlText w:val="%8."/>
      <w:lvlJc w:val="left"/>
      <w:pPr>
        <w:ind w:left="5760" w:hanging="360"/>
      </w:pPr>
    </w:lvl>
    <w:lvl w:ilvl="8" w:tplc="7CEA85A0">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269B7"/>
    <w:multiLevelType w:val="hybridMultilevel"/>
    <w:tmpl w:val="93580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B3F6C"/>
    <w:multiLevelType w:val="hybridMultilevel"/>
    <w:tmpl w:val="A254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356FE"/>
    <w:multiLevelType w:val="hybridMultilevel"/>
    <w:tmpl w:val="46DA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06EE3"/>
    <w:multiLevelType w:val="hybridMultilevel"/>
    <w:tmpl w:val="C76CE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962DE"/>
    <w:multiLevelType w:val="hybridMultilevel"/>
    <w:tmpl w:val="478C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4AFDF8"/>
    <w:multiLevelType w:val="hybridMultilevel"/>
    <w:tmpl w:val="9BB87268"/>
    <w:lvl w:ilvl="0" w:tplc="76EA8318">
      <w:start w:val="1"/>
      <w:numFmt w:val="bullet"/>
      <w:lvlText w:val=""/>
      <w:lvlJc w:val="left"/>
      <w:pPr>
        <w:ind w:left="720" w:hanging="360"/>
      </w:pPr>
      <w:rPr>
        <w:rFonts w:ascii="Symbol" w:hAnsi="Symbol" w:hint="default"/>
      </w:rPr>
    </w:lvl>
    <w:lvl w:ilvl="1" w:tplc="A43AF6B2">
      <w:start w:val="1"/>
      <w:numFmt w:val="bullet"/>
      <w:lvlText w:val="o"/>
      <w:lvlJc w:val="left"/>
      <w:pPr>
        <w:ind w:left="1440" w:hanging="360"/>
      </w:pPr>
      <w:rPr>
        <w:rFonts w:ascii="Courier New" w:hAnsi="Courier New" w:hint="default"/>
      </w:rPr>
    </w:lvl>
    <w:lvl w:ilvl="2" w:tplc="CD6A0D44">
      <w:start w:val="1"/>
      <w:numFmt w:val="bullet"/>
      <w:lvlText w:val=""/>
      <w:lvlJc w:val="left"/>
      <w:pPr>
        <w:ind w:left="2160" w:hanging="360"/>
      </w:pPr>
      <w:rPr>
        <w:rFonts w:ascii="Wingdings" w:hAnsi="Wingdings" w:hint="default"/>
      </w:rPr>
    </w:lvl>
    <w:lvl w:ilvl="3" w:tplc="5866B370">
      <w:start w:val="1"/>
      <w:numFmt w:val="bullet"/>
      <w:lvlText w:val=""/>
      <w:lvlJc w:val="left"/>
      <w:pPr>
        <w:ind w:left="2880" w:hanging="360"/>
      </w:pPr>
      <w:rPr>
        <w:rFonts w:ascii="Symbol" w:hAnsi="Symbol" w:hint="default"/>
      </w:rPr>
    </w:lvl>
    <w:lvl w:ilvl="4" w:tplc="6758153A">
      <w:start w:val="1"/>
      <w:numFmt w:val="bullet"/>
      <w:lvlText w:val="o"/>
      <w:lvlJc w:val="left"/>
      <w:pPr>
        <w:ind w:left="3600" w:hanging="360"/>
      </w:pPr>
      <w:rPr>
        <w:rFonts w:ascii="Courier New" w:hAnsi="Courier New" w:hint="default"/>
      </w:rPr>
    </w:lvl>
    <w:lvl w:ilvl="5" w:tplc="AAC60406">
      <w:start w:val="1"/>
      <w:numFmt w:val="bullet"/>
      <w:lvlText w:val=""/>
      <w:lvlJc w:val="left"/>
      <w:pPr>
        <w:ind w:left="4320" w:hanging="360"/>
      </w:pPr>
      <w:rPr>
        <w:rFonts w:ascii="Wingdings" w:hAnsi="Wingdings" w:hint="default"/>
      </w:rPr>
    </w:lvl>
    <w:lvl w:ilvl="6" w:tplc="C1C64786">
      <w:start w:val="1"/>
      <w:numFmt w:val="bullet"/>
      <w:lvlText w:val=""/>
      <w:lvlJc w:val="left"/>
      <w:pPr>
        <w:ind w:left="5040" w:hanging="360"/>
      </w:pPr>
      <w:rPr>
        <w:rFonts w:ascii="Symbol" w:hAnsi="Symbol" w:hint="default"/>
      </w:rPr>
    </w:lvl>
    <w:lvl w:ilvl="7" w:tplc="700E31EE">
      <w:start w:val="1"/>
      <w:numFmt w:val="bullet"/>
      <w:lvlText w:val="o"/>
      <w:lvlJc w:val="left"/>
      <w:pPr>
        <w:ind w:left="5760" w:hanging="360"/>
      </w:pPr>
      <w:rPr>
        <w:rFonts w:ascii="Courier New" w:hAnsi="Courier New" w:hint="default"/>
      </w:rPr>
    </w:lvl>
    <w:lvl w:ilvl="8" w:tplc="C81094A0">
      <w:start w:val="1"/>
      <w:numFmt w:val="bullet"/>
      <w:lvlText w:val=""/>
      <w:lvlJc w:val="left"/>
      <w:pPr>
        <w:ind w:left="6480" w:hanging="360"/>
      </w:pPr>
      <w:rPr>
        <w:rFonts w:ascii="Wingdings" w:hAnsi="Wingdings" w:hint="default"/>
      </w:rPr>
    </w:lvl>
  </w:abstractNum>
  <w:abstractNum w:abstractNumId="16" w15:restartNumberingAfterBreak="0">
    <w:nsid w:val="7DF86999"/>
    <w:multiLevelType w:val="hybridMultilevel"/>
    <w:tmpl w:val="A1BE627A"/>
    <w:lvl w:ilvl="0" w:tplc="5B46E7B2">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1378">
    <w:abstractNumId w:val="7"/>
  </w:num>
  <w:num w:numId="2" w16cid:durableId="474953039">
    <w:abstractNumId w:val="4"/>
  </w:num>
  <w:num w:numId="3" w16cid:durableId="1105661364">
    <w:abstractNumId w:val="15"/>
  </w:num>
  <w:num w:numId="4" w16cid:durableId="1346517952">
    <w:abstractNumId w:val="10"/>
  </w:num>
  <w:num w:numId="5" w16cid:durableId="1733625444">
    <w:abstractNumId w:val="5"/>
  </w:num>
  <w:num w:numId="6" w16cid:durableId="1441947335">
    <w:abstractNumId w:val="0"/>
  </w:num>
  <w:num w:numId="7" w16cid:durableId="1148478980">
    <w:abstractNumId w:val="1"/>
  </w:num>
  <w:num w:numId="8" w16cid:durableId="109321281">
    <w:abstractNumId w:val="2"/>
  </w:num>
  <w:num w:numId="9" w16cid:durableId="272784496">
    <w:abstractNumId w:val="3"/>
  </w:num>
  <w:num w:numId="10" w16cid:durableId="159081409">
    <w:abstractNumId w:val="8"/>
  </w:num>
  <w:num w:numId="11" w16cid:durableId="615527020">
    <w:abstractNumId w:val="14"/>
  </w:num>
  <w:num w:numId="12" w16cid:durableId="448819126">
    <w:abstractNumId w:val="11"/>
  </w:num>
  <w:num w:numId="13" w16cid:durableId="1477720539">
    <w:abstractNumId w:val="13"/>
  </w:num>
  <w:num w:numId="14" w16cid:durableId="1213347559">
    <w:abstractNumId w:val="12"/>
  </w:num>
  <w:num w:numId="15" w16cid:durableId="1769085216">
    <w:abstractNumId w:val="16"/>
  </w:num>
  <w:num w:numId="16" w16cid:durableId="401026063">
    <w:abstractNumId w:val="9"/>
  </w:num>
  <w:num w:numId="17" w16cid:durableId="168401869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8569D"/>
    <w:rsid w:val="000B366E"/>
    <w:rsid w:val="000B4C4D"/>
    <w:rsid w:val="000C646A"/>
    <w:rsid w:val="000E090C"/>
    <w:rsid w:val="000E5221"/>
    <w:rsid w:val="000E56B9"/>
    <w:rsid w:val="000E6651"/>
    <w:rsid w:val="000F4917"/>
    <w:rsid w:val="0011289B"/>
    <w:rsid w:val="001217A8"/>
    <w:rsid w:val="00132B05"/>
    <w:rsid w:val="00134454"/>
    <w:rsid w:val="00134819"/>
    <w:rsid w:val="001564AB"/>
    <w:rsid w:val="00185184"/>
    <w:rsid w:val="00196601"/>
    <w:rsid w:val="001A3DD2"/>
    <w:rsid w:val="001B1770"/>
    <w:rsid w:val="001C5FEB"/>
    <w:rsid w:val="001C752E"/>
    <w:rsid w:val="001D32DA"/>
    <w:rsid w:val="001D5CB5"/>
    <w:rsid w:val="001E1FCD"/>
    <w:rsid w:val="001E4B19"/>
    <w:rsid w:val="001E7BB3"/>
    <w:rsid w:val="00206261"/>
    <w:rsid w:val="00213205"/>
    <w:rsid w:val="00225333"/>
    <w:rsid w:val="0023115A"/>
    <w:rsid w:val="00233FBE"/>
    <w:rsid w:val="002411E0"/>
    <w:rsid w:val="00241EBD"/>
    <w:rsid w:val="002528ED"/>
    <w:rsid w:val="0026237B"/>
    <w:rsid w:val="00267FE8"/>
    <w:rsid w:val="002776C1"/>
    <w:rsid w:val="00277AAE"/>
    <w:rsid w:val="002948EC"/>
    <w:rsid w:val="00294FF9"/>
    <w:rsid w:val="002C09F8"/>
    <w:rsid w:val="002E64D8"/>
    <w:rsid w:val="002F4A18"/>
    <w:rsid w:val="002F5970"/>
    <w:rsid w:val="0031A916"/>
    <w:rsid w:val="003370FE"/>
    <w:rsid w:val="003A1AA5"/>
    <w:rsid w:val="003C3A8B"/>
    <w:rsid w:val="003C93CD"/>
    <w:rsid w:val="003D07D3"/>
    <w:rsid w:val="003D5726"/>
    <w:rsid w:val="003E14EE"/>
    <w:rsid w:val="00400C5B"/>
    <w:rsid w:val="004078DD"/>
    <w:rsid w:val="00412E0E"/>
    <w:rsid w:val="00414AD6"/>
    <w:rsid w:val="0044289B"/>
    <w:rsid w:val="00462CDF"/>
    <w:rsid w:val="004731E8"/>
    <w:rsid w:val="00475A5E"/>
    <w:rsid w:val="004B15A5"/>
    <w:rsid w:val="004B56E0"/>
    <w:rsid w:val="004D2E50"/>
    <w:rsid w:val="004E28BD"/>
    <w:rsid w:val="005359F8"/>
    <w:rsid w:val="0053784E"/>
    <w:rsid w:val="005434E7"/>
    <w:rsid w:val="005445B4"/>
    <w:rsid w:val="00560E4B"/>
    <w:rsid w:val="005610D1"/>
    <w:rsid w:val="0056685F"/>
    <w:rsid w:val="00573D65"/>
    <w:rsid w:val="00581EF4"/>
    <w:rsid w:val="00590D6F"/>
    <w:rsid w:val="005910F5"/>
    <w:rsid w:val="00593149"/>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A32B7"/>
    <w:rsid w:val="006C0C3F"/>
    <w:rsid w:val="006C5DF6"/>
    <w:rsid w:val="006D1DF1"/>
    <w:rsid w:val="006E47ED"/>
    <w:rsid w:val="007403B3"/>
    <w:rsid w:val="00743D15"/>
    <w:rsid w:val="00746EA4"/>
    <w:rsid w:val="0075278E"/>
    <w:rsid w:val="00754706"/>
    <w:rsid w:val="00764D2E"/>
    <w:rsid w:val="007828BE"/>
    <w:rsid w:val="0078748C"/>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3D7A"/>
    <w:rsid w:val="008742CD"/>
    <w:rsid w:val="0088087C"/>
    <w:rsid w:val="008A1691"/>
    <w:rsid w:val="008B5D4C"/>
    <w:rsid w:val="008C5891"/>
    <w:rsid w:val="008C7123"/>
    <w:rsid w:val="008D63DA"/>
    <w:rsid w:val="008F16C8"/>
    <w:rsid w:val="008F6140"/>
    <w:rsid w:val="008F7976"/>
    <w:rsid w:val="00916715"/>
    <w:rsid w:val="00920752"/>
    <w:rsid w:val="009318B6"/>
    <w:rsid w:val="009419F0"/>
    <w:rsid w:val="00943920"/>
    <w:rsid w:val="00947C69"/>
    <w:rsid w:val="0095386B"/>
    <w:rsid w:val="00954712"/>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169CC"/>
    <w:rsid w:val="00A213F4"/>
    <w:rsid w:val="00A338D7"/>
    <w:rsid w:val="00A37705"/>
    <w:rsid w:val="00A5455B"/>
    <w:rsid w:val="00A67C29"/>
    <w:rsid w:val="00A719CD"/>
    <w:rsid w:val="00A823D0"/>
    <w:rsid w:val="00A93422"/>
    <w:rsid w:val="00AC222F"/>
    <w:rsid w:val="00AC5140"/>
    <w:rsid w:val="00AD5937"/>
    <w:rsid w:val="00AF08A1"/>
    <w:rsid w:val="00AF6924"/>
    <w:rsid w:val="00B045B5"/>
    <w:rsid w:val="00B067C3"/>
    <w:rsid w:val="00B22D75"/>
    <w:rsid w:val="00B40758"/>
    <w:rsid w:val="00B42C23"/>
    <w:rsid w:val="00B46A7A"/>
    <w:rsid w:val="00B46BAC"/>
    <w:rsid w:val="00B53992"/>
    <w:rsid w:val="00B557D5"/>
    <w:rsid w:val="00B67C5E"/>
    <w:rsid w:val="00B7115A"/>
    <w:rsid w:val="00B9754A"/>
    <w:rsid w:val="00BA45F5"/>
    <w:rsid w:val="00BB1C79"/>
    <w:rsid w:val="00BB37E8"/>
    <w:rsid w:val="00BB6541"/>
    <w:rsid w:val="00BD645C"/>
    <w:rsid w:val="00BF17A4"/>
    <w:rsid w:val="00BF54FD"/>
    <w:rsid w:val="00C01EE4"/>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E4389"/>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B7D23"/>
    <w:rsid w:val="00DC597B"/>
    <w:rsid w:val="00DD270A"/>
    <w:rsid w:val="00DE318F"/>
    <w:rsid w:val="00DE7E24"/>
    <w:rsid w:val="00DF1819"/>
    <w:rsid w:val="00E073D5"/>
    <w:rsid w:val="00E228B1"/>
    <w:rsid w:val="00E271DC"/>
    <w:rsid w:val="00E31215"/>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5B7D"/>
    <w:rsid w:val="00F64009"/>
    <w:rsid w:val="00F84AC2"/>
    <w:rsid w:val="00F95BD6"/>
    <w:rsid w:val="00FB425D"/>
    <w:rsid w:val="00FC3D17"/>
    <w:rsid w:val="00FD240E"/>
    <w:rsid w:val="00FD40F3"/>
    <w:rsid w:val="00FF6C83"/>
    <w:rsid w:val="02D2FABB"/>
    <w:rsid w:val="03D89221"/>
    <w:rsid w:val="05801921"/>
    <w:rsid w:val="0619A2E6"/>
    <w:rsid w:val="0729F161"/>
    <w:rsid w:val="082EA3DE"/>
    <w:rsid w:val="0B129B62"/>
    <w:rsid w:val="0C4E2CB7"/>
    <w:rsid w:val="0F0C1931"/>
    <w:rsid w:val="1574F8FB"/>
    <w:rsid w:val="15ADC617"/>
    <w:rsid w:val="16577B21"/>
    <w:rsid w:val="17605123"/>
    <w:rsid w:val="1997EB9D"/>
    <w:rsid w:val="1CE7C605"/>
    <w:rsid w:val="1DD10ED9"/>
    <w:rsid w:val="1E410E9E"/>
    <w:rsid w:val="1FA4BFCA"/>
    <w:rsid w:val="20436BCA"/>
    <w:rsid w:val="21F80EB9"/>
    <w:rsid w:val="22E3F60F"/>
    <w:rsid w:val="25420D39"/>
    <w:rsid w:val="2742D930"/>
    <w:rsid w:val="27AB6B76"/>
    <w:rsid w:val="28E4A4BE"/>
    <w:rsid w:val="29352B24"/>
    <w:rsid w:val="29CF7D98"/>
    <w:rsid w:val="2A2B0D2D"/>
    <w:rsid w:val="2D6995FF"/>
    <w:rsid w:val="2E6B397F"/>
    <w:rsid w:val="2FFA79ED"/>
    <w:rsid w:val="33718DC3"/>
    <w:rsid w:val="3391C135"/>
    <w:rsid w:val="38D5786C"/>
    <w:rsid w:val="3A09D6AF"/>
    <w:rsid w:val="3B4A4467"/>
    <w:rsid w:val="3C350F37"/>
    <w:rsid w:val="4515AA31"/>
    <w:rsid w:val="466B715B"/>
    <w:rsid w:val="471A2864"/>
    <w:rsid w:val="488D2985"/>
    <w:rsid w:val="4AE7EE53"/>
    <w:rsid w:val="4C07DC8E"/>
    <w:rsid w:val="4C8DC5C4"/>
    <w:rsid w:val="4DA0A211"/>
    <w:rsid w:val="4FA94D88"/>
    <w:rsid w:val="514DA0E6"/>
    <w:rsid w:val="52319260"/>
    <w:rsid w:val="5A8A41F3"/>
    <w:rsid w:val="5D16B1D4"/>
    <w:rsid w:val="60363B1F"/>
    <w:rsid w:val="62D397CB"/>
    <w:rsid w:val="65C89678"/>
    <w:rsid w:val="6802BB1C"/>
    <w:rsid w:val="68AB6667"/>
    <w:rsid w:val="6AB0091D"/>
    <w:rsid w:val="6F02F34C"/>
    <w:rsid w:val="703432E9"/>
    <w:rsid w:val="70C3FA22"/>
    <w:rsid w:val="721A7EED"/>
    <w:rsid w:val="731575AB"/>
    <w:rsid w:val="78140B02"/>
    <w:rsid w:val="7AC995DA"/>
    <w:rsid w:val="7C533A8A"/>
    <w:rsid w:val="7C5837A7"/>
    <w:rsid w:val="7CB6B68E"/>
    <w:rsid w:val="7CE4D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043CFB"/>
  <w15:chartTrackingRefBased/>
  <w15:docId w15:val="{C2E429D0-A87C-4303-9F20-10248D7B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3C774-02F5-45AE-AB9F-012BE609C949}">
  <ds:schemaRefs>
    <ds:schemaRef ds:uri="http://schemas.microsoft.com/sharepoint/v3/contenttype/forms"/>
  </ds:schemaRefs>
</ds:datastoreItem>
</file>

<file path=customXml/itemProps2.xml><?xml version="1.0" encoding="utf-8"?>
<ds:datastoreItem xmlns:ds="http://schemas.openxmlformats.org/officeDocument/2006/customXml" ds:itemID="{537CB697-C601-4979-9AE0-5D848A4D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C50D9-B6F4-437E-8A31-D3BF6966A17B}">
  <ds:schemaRefs>
    <ds:schemaRef ds:uri="http://schemas.openxmlformats.org/officeDocument/2006/bibliography"/>
  </ds:schemaRefs>
</ds:datastoreItem>
</file>

<file path=customXml/itemProps4.xml><?xml version="1.0" encoding="utf-8"?>
<ds:datastoreItem xmlns:ds="http://schemas.openxmlformats.org/officeDocument/2006/customXml" ds:itemID="{2DB22E0F-170F-4621-B9C9-8D3AF2438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Szczesniak, Joanna</cp:lastModifiedBy>
  <cp:revision>2</cp:revision>
  <cp:lastPrinted>2024-07-22T14:32:00Z</cp:lastPrinted>
  <dcterms:created xsi:type="dcterms:W3CDTF">2024-11-18T14:22:00Z</dcterms:created>
  <dcterms:modified xsi:type="dcterms:W3CDTF">2024-11-18T14:22:00Z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